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28" w:type="dxa"/>
          <w:right w:w="28" w:type="dxa"/>
        </w:tblCellMar>
        <w:tblLook w:val="0000" w:firstRow="0" w:lastRow="0" w:firstColumn="0" w:lastColumn="0" w:noHBand="0" w:noVBand="0"/>
      </w:tblPr>
      <w:tblGrid>
        <w:gridCol w:w="851"/>
        <w:gridCol w:w="5812"/>
        <w:gridCol w:w="710"/>
      </w:tblGrid>
      <w:tr w:rsidR="00490D5E" w:rsidRPr="00490D5E" w:rsidTr="00966BB5">
        <w:trPr>
          <w:cantSplit/>
          <w:trHeight w:val="1149"/>
        </w:trPr>
        <w:tc>
          <w:tcPr>
            <w:tcW w:w="851" w:type="dxa"/>
          </w:tcPr>
          <w:p w:rsidR="00490D5E" w:rsidRPr="00490D5E" w:rsidRDefault="00490D5E" w:rsidP="00490D5E">
            <w:pPr>
              <w:spacing w:before="240"/>
              <w:ind w:left="-113"/>
              <w:jc w:val="center"/>
              <w:rPr>
                <w:i/>
                <w:spacing w:val="-4"/>
                <w:sz w:val="16"/>
                <w:szCs w:val="16"/>
                <w:lang w:val="en-US"/>
              </w:rPr>
            </w:pPr>
            <w:bookmarkStart w:id="0" w:name="_GoBack"/>
            <w:bookmarkEnd w:id="0"/>
            <w:r w:rsidRPr="00490D5E">
              <w:rPr>
                <w:rFonts w:eastAsia="Calibri"/>
                <w:b/>
                <w:noProof/>
                <w:sz w:val="16"/>
                <w:szCs w:val="16"/>
                <w:lang w:val="bg-BG" w:eastAsia="bg-BG"/>
              </w:rPr>
              <w:drawing>
                <wp:inline distT="0" distB="0" distL="0" distR="0" wp14:anchorId="6D9188ED" wp14:editId="033EEB7B">
                  <wp:extent cx="384922" cy="360000"/>
                  <wp:effectExtent l="0" t="0" r="0" b="0"/>
                  <wp:docPr id="10" name="Картина 1" descr="C:\Users\Margarita Yaneva\Desktop\лого зелено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aneva\Desktop\лого зелено75.png"/>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4922" cy="360000"/>
                          </a:xfrm>
                          <a:prstGeom prst="rect">
                            <a:avLst/>
                          </a:prstGeom>
                          <a:noFill/>
                          <a:ln>
                            <a:noFill/>
                          </a:ln>
                        </pic:spPr>
                      </pic:pic>
                    </a:graphicData>
                  </a:graphic>
                </wp:inline>
              </w:drawing>
            </w:r>
          </w:p>
        </w:tc>
        <w:tc>
          <w:tcPr>
            <w:tcW w:w="5812" w:type="dxa"/>
          </w:tcPr>
          <w:p w:rsidR="00490D5E" w:rsidRPr="00490D5E" w:rsidRDefault="00490D5E" w:rsidP="00966BB5">
            <w:pPr>
              <w:autoSpaceDE w:val="0"/>
              <w:autoSpaceDN w:val="0"/>
              <w:adjustRightInd w:val="0"/>
              <w:spacing w:line="180" w:lineRule="exact"/>
              <w:ind w:left="57"/>
              <w:rPr>
                <w:b/>
                <w:bCs/>
                <w:spacing w:val="-2"/>
                <w:sz w:val="16"/>
                <w:szCs w:val="16"/>
                <w:lang w:val="bg-BG"/>
              </w:rPr>
            </w:pPr>
            <w:r w:rsidRPr="00490D5E">
              <w:rPr>
                <w:b/>
                <w:bCs/>
                <w:spacing w:val="-2"/>
                <w:sz w:val="16"/>
                <w:szCs w:val="16"/>
                <w:lang w:val="bg-BG"/>
              </w:rPr>
              <w:t xml:space="preserve">Аграрен университет </w:t>
            </w:r>
            <w:r w:rsidRPr="00490D5E">
              <w:rPr>
                <w:b/>
                <w:bCs/>
                <w:spacing w:val="-2"/>
                <w:sz w:val="16"/>
                <w:szCs w:val="16"/>
                <w:lang w:val="en-US"/>
              </w:rPr>
              <w:t>–</w:t>
            </w:r>
            <w:r w:rsidRPr="00490D5E">
              <w:rPr>
                <w:b/>
                <w:bCs/>
                <w:spacing w:val="-2"/>
                <w:sz w:val="16"/>
                <w:szCs w:val="16"/>
                <w:lang w:val="bg-BG"/>
              </w:rPr>
              <w:t xml:space="preserve"> Пловдив, Научни трудове, т. </w:t>
            </w:r>
            <w:r w:rsidRPr="00490D5E">
              <w:rPr>
                <w:b/>
                <w:bCs/>
                <w:spacing w:val="-2"/>
                <w:sz w:val="16"/>
                <w:szCs w:val="16"/>
                <w:lang w:val="en-US"/>
              </w:rPr>
              <w:t>LXII</w:t>
            </w:r>
            <w:r w:rsidRPr="00490D5E">
              <w:rPr>
                <w:b/>
                <w:bCs/>
                <w:spacing w:val="-2"/>
                <w:sz w:val="16"/>
                <w:szCs w:val="16"/>
                <w:lang w:val="bg-BG"/>
              </w:rPr>
              <w:t xml:space="preserve">, кн. </w:t>
            </w:r>
            <w:r w:rsidRPr="00490D5E">
              <w:rPr>
                <w:b/>
                <w:bCs/>
                <w:spacing w:val="-2"/>
                <w:sz w:val="16"/>
                <w:szCs w:val="16"/>
                <w:lang w:val="en-US"/>
              </w:rPr>
              <w:t>2</w:t>
            </w:r>
            <w:r w:rsidRPr="00490D5E">
              <w:rPr>
                <w:b/>
                <w:bCs/>
                <w:spacing w:val="-2"/>
                <w:sz w:val="16"/>
                <w:szCs w:val="16"/>
                <w:lang w:val="bg-BG"/>
              </w:rPr>
              <w:t>, 20</w:t>
            </w:r>
            <w:r w:rsidRPr="00490D5E">
              <w:rPr>
                <w:b/>
                <w:bCs/>
                <w:spacing w:val="-2"/>
                <w:sz w:val="16"/>
                <w:szCs w:val="16"/>
                <w:lang w:val="en-US"/>
              </w:rPr>
              <w:t>20</w:t>
            </w:r>
            <w:r w:rsidRPr="00490D5E">
              <w:rPr>
                <w:b/>
                <w:bCs/>
                <w:spacing w:val="-2"/>
                <w:sz w:val="16"/>
                <w:szCs w:val="16"/>
                <w:lang w:val="bg-BG"/>
              </w:rPr>
              <w:t xml:space="preserve"> г.</w:t>
            </w:r>
          </w:p>
          <w:p w:rsidR="00490D5E" w:rsidRPr="00490D5E" w:rsidRDefault="00490D5E" w:rsidP="00966BB5">
            <w:pPr>
              <w:autoSpaceDE w:val="0"/>
              <w:autoSpaceDN w:val="0"/>
              <w:adjustRightInd w:val="0"/>
              <w:spacing w:line="180" w:lineRule="exact"/>
              <w:ind w:firstLine="57"/>
              <w:rPr>
                <w:b/>
                <w:bCs/>
                <w:sz w:val="16"/>
                <w:szCs w:val="16"/>
                <w:lang w:val="en-US"/>
              </w:rPr>
            </w:pPr>
            <w:r w:rsidRPr="00490D5E">
              <w:rPr>
                <w:b/>
                <w:bCs/>
                <w:sz w:val="16"/>
                <w:szCs w:val="16"/>
                <w:lang w:val="bg-BG"/>
              </w:rPr>
              <w:t>Юбилейна научна конференция с международно участие</w:t>
            </w:r>
          </w:p>
          <w:p w:rsidR="00966BB5" w:rsidRDefault="00490D5E" w:rsidP="00966BB5">
            <w:pPr>
              <w:autoSpaceDE w:val="0"/>
              <w:autoSpaceDN w:val="0"/>
              <w:adjustRightInd w:val="0"/>
              <w:spacing w:line="180" w:lineRule="exact"/>
              <w:ind w:firstLine="57"/>
              <w:rPr>
                <w:rFonts w:eastAsia="Calibri"/>
                <w:b/>
                <w:i/>
                <w:sz w:val="16"/>
                <w:szCs w:val="16"/>
                <w:lang w:val="en-US"/>
              </w:rPr>
            </w:pPr>
            <w:r w:rsidRPr="00490D5E">
              <w:rPr>
                <w:rFonts w:eastAsia="Calibri"/>
                <w:b/>
                <w:i/>
                <w:sz w:val="16"/>
                <w:szCs w:val="16"/>
                <w:lang w:val="bg-BG"/>
              </w:rPr>
              <w:t xml:space="preserve">Перспективи пред аграрната наука и иновации за устойчиви </w:t>
            </w:r>
          </w:p>
          <w:p w:rsidR="00490D5E" w:rsidRPr="00490D5E" w:rsidRDefault="00490D5E" w:rsidP="00966BB5">
            <w:pPr>
              <w:autoSpaceDE w:val="0"/>
              <w:autoSpaceDN w:val="0"/>
              <w:adjustRightInd w:val="0"/>
              <w:spacing w:line="180" w:lineRule="exact"/>
              <w:ind w:firstLine="57"/>
              <w:rPr>
                <w:b/>
                <w:bCs/>
                <w:i/>
                <w:sz w:val="16"/>
                <w:szCs w:val="16"/>
                <w:lang w:val="en-US"/>
              </w:rPr>
            </w:pPr>
            <w:r w:rsidRPr="00490D5E">
              <w:rPr>
                <w:rFonts w:eastAsia="Calibri"/>
                <w:b/>
                <w:i/>
                <w:sz w:val="16"/>
                <w:szCs w:val="16"/>
                <w:lang w:val="bg-BG"/>
              </w:rPr>
              <w:t>продоволствени системи</w:t>
            </w:r>
          </w:p>
          <w:p w:rsidR="00490D5E" w:rsidRPr="00490D5E" w:rsidRDefault="00490D5E" w:rsidP="00966BB5">
            <w:pPr>
              <w:spacing w:line="180" w:lineRule="exact"/>
              <w:ind w:firstLine="57"/>
              <w:rPr>
                <w:b/>
                <w:bCs/>
                <w:sz w:val="16"/>
                <w:szCs w:val="16"/>
                <w:lang w:val="bg-BG"/>
              </w:rPr>
            </w:pPr>
            <w:r w:rsidRPr="00490D5E">
              <w:rPr>
                <w:b/>
                <w:bCs/>
                <w:sz w:val="16"/>
                <w:szCs w:val="16"/>
                <w:lang w:val="bg-BG"/>
              </w:rPr>
              <w:t>А</w:t>
            </w:r>
            <w:r w:rsidR="00966BB5">
              <w:rPr>
                <w:b/>
                <w:bCs/>
                <w:sz w:val="16"/>
                <w:szCs w:val="16"/>
                <w:lang w:val="en-US"/>
              </w:rPr>
              <w:t>gricultural University – P</w:t>
            </w:r>
            <w:r w:rsidRPr="00490D5E">
              <w:rPr>
                <w:b/>
                <w:bCs/>
                <w:sz w:val="16"/>
                <w:szCs w:val="16"/>
                <w:lang w:val="en-US"/>
              </w:rPr>
              <w:t>lovdiv, Scientific Works, vol. LXII,</w:t>
            </w:r>
            <w:r w:rsidRPr="00490D5E">
              <w:rPr>
                <w:b/>
                <w:bCs/>
                <w:sz w:val="16"/>
                <w:szCs w:val="16"/>
                <w:lang w:val="bg-BG"/>
              </w:rPr>
              <w:t xml:space="preserve"> </w:t>
            </w:r>
            <w:r w:rsidRPr="00490D5E">
              <w:rPr>
                <w:b/>
                <w:bCs/>
                <w:sz w:val="16"/>
                <w:szCs w:val="16"/>
                <w:lang w:val="en-US"/>
              </w:rPr>
              <w:t>book 2, 2020</w:t>
            </w:r>
          </w:p>
          <w:p w:rsidR="00490D5E" w:rsidRPr="00490D5E" w:rsidRDefault="00490D5E" w:rsidP="00966BB5">
            <w:pPr>
              <w:spacing w:line="180" w:lineRule="exact"/>
              <w:ind w:firstLine="57"/>
              <w:rPr>
                <w:b/>
                <w:sz w:val="16"/>
                <w:szCs w:val="16"/>
                <w:lang w:val="bg-BG"/>
              </w:rPr>
            </w:pPr>
            <w:r w:rsidRPr="00490D5E">
              <w:rPr>
                <w:b/>
                <w:sz w:val="16"/>
                <w:szCs w:val="16"/>
              </w:rPr>
              <w:t>Jubilee Scientific Conference with International Participation</w:t>
            </w:r>
          </w:p>
          <w:p w:rsidR="00490D5E" w:rsidRPr="00490D5E" w:rsidRDefault="00490D5E" w:rsidP="00966BB5">
            <w:pPr>
              <w:spacing w:line="180" w:lineRule="exact"/>
              <w:ind w:firstLine="57"/>
              <w:rPr>
                <w:sz w:val="16"/>
                <w:szCs w:val="16"/>
                <w:lang w:val="bg-BG"/>
              </w:rPr>
            </w:pPr>
            <w:r w:rsidRPr="00490D5E">
              <w:rPr>
                <w:rFonts w:eastAsia="Calibri"/>
                <w:b/>
                <w:bCs/>
                <w:i/>
                <w:sz w:val="16"/>
                <w:szCs w:val="16"/>
                <w:lang w:val="en-US"/>
              </w:rPr>
              <w:t>Perspectives on Agricultural Science and</w:t>
            </w:r>
            <w:r w:rsidRPr="00490D5E">
              <w:rPr>
                <w:rFonts w:eastAsia="Calibri"/>
                <w:b/>
                <w:i/>
                <w:sz w:val="16"/>
                <w:szCs w:val="16"/>
                <w:lang w:val="bg-BG"/>
              </w:rPr>
              <w:t xml:space="preserve"> </w:t>
            </w:r>
            <w:r w:rsidRPr="00490D5E">
              <w:rPr>
                <w:rFonts w:eastAsia="Calibri"/>
                <w:b/>
                <w:i/>
                <w:sz w:val="16"/>
                <w:szCs w:val="16"/>
                <w:lang w:val="en-US"/>
              </w:rPr>
              <w:t>I</w:t>
            </w:r>
            <w:r w:rsidRPr="00490D5E">
              <w:rPr>
                <w:rFonts w:eastAsia="Calibri"/>
                <w:b/>
                <w:i/>
                <w:sz w:val="16"/>
                <w:szCs w:val="16"/>
                <w:lang w:val="bg-BG"/>
              </w:rPr>
              <w:t xml:space="preserve">nnovations </w:t>
            </w:r>
            <w:r w:rsidRPr="00490D5E">
              <w:rPr>
                <w:rFonts w:eastAsia="Calibri"/>
                <w:b/>
                <w:i/>
                <w:sz w:val="16"/>
                <w:szCs w:val="16"/>
                <w:lang w:val="en-US"/>
              </w:rPr>
              <w:t>for</w:t>
            </w:r>
            <w:r w:rsidRPr="00490D5E">
              <w:rPr>
                <w:rFonts w:eastAsia="Calibri"/>
                <w:b/>
                <w:i/>
                <w:sz w:val="16"/>
                <w:szCs w:val="16"/>
                <w:lang w:val="bg-BG"/>
              </w:rPr>
              <w:t xml:space="preserve"> </w:t>
            </w:r>
            <w:r w:rsidRPr="00490D5E">
              <w:rPr>
                <w:rFonts w:eastAsia="Calibri"/>
                <w:b/>
                <w:i/>
                <w:sz w:val="16"/>
                <w:szCs w:val="16"/>
                <w:lang w:val="en-US"/>
              </w:rPr>
              <w:t>Sustainable F</w:t>
            </w:r>
            <w:r w:rsidRPr="00490D5E">
              <w:rPr>
                <w:rFonts w:eastAsia="Calibri"/>
                <w:b/>
                <w:i/>
                <w:sz w:val="16"/>
                <w:szCs w:val="16"/>
                <w:lang w:val="bg-BG"/>
              </w:rPr>
              <w:t xml:space="preserve">ood </w:t>
            </w:r>
            <w:r w:rsidRPr="00490D5E">
              <w:rPr>
                <w:rFonts w:eastAsia="Calibri"/>
                <w:b/>
                <w:i/>
                <w:sz w:val="16"/>
                <w:szCs w:val="16"/>
                <w:lang w:val="en-US"/>
              </w:rPr>
              <w:t>S</w:t>
            </w:r>
            <w:r w:rsidRPr="00490D5E">
              <w:rPr>
                <w:rFonts w:eastAsia="Calibri"/>
                <w:b/>
                <w:i/>
                <w:sz w:val="16"/>
                <w:szCs w:val="16"/>
                <w:lang w:val="bg-BG"/>
              </w:rPr>
              <w:t>ystems</w:t>
            </w:r>
          </w:p>
        </w:tc>
        <w:tc>
          <w:tcPr>
            <w:tcW w:w="710" w:type="dxa"/>
          </w:tcPr>
          <w:p w:rsidR="00490D5E" w:rsidRPr="00490D5E" w:rsidRDefault="00490D5E" w:rsidP="00490D5E">
            <w:pPr>
              <w:autoSpaceDE w:val="0"/>
              <w:autoSpaceDN w:val="0"/>
              <w:adjustRightInd w:val="0"/>
              <w:spacing w:line="180" w:lineRule="exact"/>
              <w:ind w:firstLine="57"/>
              <w:rPr>
                <w:b/>
                <w:bCs/>
                <w:sz w:val="16"/>
                <w:szCs w:val="21"/>
                <w:lang w:val="en-US"/>
              </w:rPr>
            </w:pPr>
            <w:r>
              <w:rPr>
                <w:b/>
                <w:noProof/>
                <w:sz w:val="16"/>
                <w:szCs w:val="21"/>
                <w:lang w:val="bg-BG" w:eastAsia="bg-BG"/>
              </w:rPr>
              <w:drawing>
                <wp:inline distT="0" distB="0" distL="0" distR="0" wp14:anchorId="1FDC7912" wp14:editId="681D6189">
                  <wp:extent cx="960755" cy="1036955"/>
                  <wp:effectExtent l="0" t="0" r="0" b="0"/>
                  <wp:docPr id="8" name="Picture 8" descr="C:\Users\Cvetkovska\Desktop\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etkovska\Desktop\AU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1036955"/>
                          </a:xfrm>
                          <a:prstGeom prst="rect">
                            <a:avLst/>
                          </a:prstGeom>
                          <a:noFill/>
                          <a:ln>
                            <a:noFill/>
                          </a:ln>
                        </pic:spPr>
                      </pic:pic>
                    </a:graphicData>
                  </a:graphic>
                </wp:inline>
              </w:drawing>
            </w:r>
          </w:p>
          <w:p w:rsidR="00490D5E" w:rsidRPr="00490D5E" w:rsidRDefault="00490D5E" w:rsidP="00490D5E">
            <w:pPr>
              <w:spacing w:before="120"/>
              <w:rPr>
                <w:b/>
                <w:bCs/>
                <w:sz w:val="16"/>
                <w:szCs w:val="21"/>
                <w:lang w:val="en-US"/>
              </w:rPr>
            </w:pPr>
            <w:r>
              <w:rPr>
                <w:b/>
                <w:noProof/>
                <w:sz w:val="16"/>
                <w:szCs w:val="21"/>
                <w:lang w:val="bg-BG" w:eastAsia="bg-BG"/>
              </w:rPr>
              <w:drawing>
                <wp:inline distT="0" distB="0" distL="0" distR="0" wp14:anchorId="4A33A5E0" wp14:editId="3A6F6BCD">
                  <wp:extent cx="336277" cy="360000"/>
                  <wp:effectExtent l="0" t="0" r="0" b="0"/>
                  <wp:docPr id="3" name="Picture 3" descr="C:\Users\Cvetkovska\Desktop\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etkovska\Desktop\AU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77" cy="360000"/>
                          </a:xfrm>
                          <a:prstGeom prst="rect">
                            <a:avLst/>
                          </a:prstGeom>
                          <a:noFill/>
                          <a:ln>
                            <a:noFill/>
                          </a:ln>
                        </pic:spPr>
                      </pic:pic>
                    </a:graphicData>
                  </a:graphic>
                </wp:inline>
              </w:drawing>
            </w:r>
          </w:p>
        </w:tc>
      </w:tr>
    </w:tbl>
    <w:p w:rsidR="00490D5E" w:rsidRPr="00490D5E" w:rsidRDefault="00E34C12" w:rsidP="00490D5E">
      <w:pPr>
        <w:jc w:val="center"/>
        <w:outlineLvl w:val="0"/>
        <w:rPr>
          <w:rFonts w:ascii="Arial" w:hAnsi="Arial" w:cs="Arial"/>
          <w:b/>
          <w:bCs/>
          <w:kern w:val="36"/>
          <w:sz w:val="16"/>
          <w:szCs w:val="16"/>
          <w:lang w:val="en-US"/>
        </w:rPr>
      </w:pPr>
      <w:r>
        <w:rPr>
          <w:rFonts w:ascii="Arial" w:hAnsi="Arial" w:cs="Arial"/>
          <w:b/>
          <w:bCs/>
          <w:noProof/>
          <w:kern w:val="36"/>
          <w:sz w:val="16"/>
          <w:szCs w:val="16"/>
          <w:lang w:val="bg-BG" w:eastAsia="bg-BG"/>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33655</wp:posOffset>
                </wp:positionV>
                <wp:extent cx="4675505" cy="0"/>
                <wp:effectExtent l="8255" t="5080" r="1206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5pt" to="36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1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Z03Sa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"/>
            </w:pict>
          </mc:Fallback>
        </mc:AlternateContent>
      </w:r>
    </w:p>
    <w:p w:rsidR="00754199" w:rsidRPr="00D4491E" w:rsidRDefault="00754199" w:rsidP="00966BB5">
      <w:pPr>
        <w:spacing w:after="80"/>
        <w:jc w:val="center"/>
        <w:outlineLvl w:val="0"/>
        <w:rPr>
          <w:rFonts w:ascii="Arial" w:hAnsi="Arial" w:cs="Arial"/>
          <w:bCs/>
          <w:kern w:val="36"/>
          <w:sz w:val="18"/>
          <w:szCs w:val="18"/>
          <w:lang w:val="en-US"/>
        </w:rPr>
      </w:pPr>
      <w:r w:rsidRPr="00024AF2">
        <w:rPr>
          <w:rFonts w:ascii="Arial" w:hAnsi="Arial" w:cs="Arial"/>
          <w:bCs/>
          <w:kern w:val="36"/>
          <w:sz w:val="18"/>
          <w:szCs w:val="18"/>
          <w:lang w:val="en-US"/>
        </w:rPr>
        <w:t>DOI</w:t>
      </w:r>
      <w:r w:rsidR="00966BB5">
        <w:rPr>
          <w:rFonts w:ascii="Arial" w:hAnsi="Arial" w:cs="Arial"/>
          <w:bCs/>
          <w:kern w:val="36"/>
          <w:sz w:val="18"/>
          <w:szCs w:val="18"/>
          <w:lang w:val="en-US"/>
        </w:rPr>
        <w:t>: 10.22620/sciworks.2020.02</w:t>
      </w:r>
      <w:r>
        <w:rPr>
          <w:rFonts w:ascii="Arial" w:hAnsi="Arial" w:cs="Arial"/>
          <w:bCs/>
          <w:kern w:val="36"/>
          <w:sz w:val="18"/>
          <w:szCs w:val="18"/>
          <w:lang w:val="en-US"/>
        </w:rPr>
        <w:t>.</w:t>
      </w:r>
      <w:r w:rsidRPr="00966BB5">
        <w:rPr>
          <w:rFonts w:ascii="Arial" w:hAnsi="Arial" w:cs="Arial"/>
          <w:bCs/>
          <w:kern w:val="36"/>
          <w:sz w:val="18"/>
          <w:szCs w:val="18"/>
          <w:lang w:val="en-US"/>
        </w:rPr>
        <w:t>0</w:t>
      </w:r>
      <w:r w:rsidR="00D4491E" w:rsidRPr="00966BB5">
        <w:rPr>
          <w:rFonts w:ascii="Arial" w:hAnsi="Arial" w:cs="Arial"/>
          <w:bCs/>
          <w:kern w:val="36"/>
          <w:sz w:val="18"/>
          <w:szCs w:val="18"/>
          <w:lang w:val="en-US"/>
        </w:rPr>
        <w:t>01</w:t>
      </w:r>
    </w:p>
    <w:p w:rsidR="00754199" w:rsidRDefault="00754199" w:rsidP="00754199">
      <w:pPr>
        <w:jc w:val="center"/>
        <w:rPr>
          <w:rFonts w:ascii="Arial" w:hAnsi="Arial" w:cs="Arial"/>
          <w:b/>
          <w:caps/>
          <w:sz w:val="20"/>
          <w:szCs w:val="20"/>
        </w:rPr>
      </w:pPr>
      <w:r w:rsidRPr="00911B25">
        <w:rPr>
          <w:rFonts w:ascii="Arial" w:hAnsi="Arial" w:cs="Arial"/>
          <w:b/>
          <w:caps/>
          <w:sz w:val="20"/>
          <w:szCs w:val="20"/>
        </w:rPr>
        <w:t>Сравнителен анализ на икономическата подкрепа на населението от общините в област Стара Загора</w:t>
      </w:r>
    </w:p>
    <w:p w:rsidR="00754199" w:rsidRDefault="00754199" w:rsidP="00754199">
      <w:pPr>
        <w:jc w:val="center"/>
        <w:rPr>
          <w:rFonts w:ascii="Arial" w:hAnsi="Arial" w:cs="Arial"/>
          <w:b/>
          <w:caps/>
          <w:sz w:val="20"/>
          <w:szCs w:val="20"/>
          <w:lang w:val="en-US"/>
        </w:rPr>
      </w:pPr>
      <w:r w:rsidRPr="00512D7A">
        <w:rPr>
          <w:rFonts w:ascii="Arial" w:hAnsi="Arial" w:cs="Arial"/>
          <w:b/>
          <w:caps/>
          <w:sz w:val="20"/>
          <w:szCs w:val="20"/>
        </w:rPr>
        <w:t xml:space="preserve">COMPARATIVE ANALYSIS OF </w:t>
      </w:r>
      <w:r>
        <w:rPr>
          <w:rFonts w:ascii="Arial" w:hAnsi="Arial" w:cs="Arial"/>
          <w:b/>
          <w:caps/>
          <w:sz w:val="20"/>
          <w:szCs w:val="20"/>
        </w:rPr>
        <w:t xml:space="preserve">THE </w:t>
      </w:r>
      <w:r w:rsidRPr="00512D7A">
        <w:rPr>
          <w:rFonts w:ascii="Arial" w:hAnsi="Arial" w:cs="Arial"/>
          <w:b/>
          <w:caps/>
          <w:sz w:val="20"/>
          <w:szCs w:val="20"/>
        </w:rPr>
        <w:t xml:space="preserve">ECONOMIC SUPPORT </w:t>
      </w:r>
      <w:r>
        <w:rPr>
          <w:rFonts w:ascii="Arial" w:hAnsi="Arial" w:cs="Arial"/>
          <w:b/>
          <w:caps/>
          <w:sz w:val="20"/>
          <w:szCs w:val="20"/>
        </w:rPr>
        <w:t xml:space="preserve">FOR </w:t>
      </w:r>
      <w:r w:rsidRPr="00512D7A">
        <w:rPr>
          <w:rFonts w:ascii="Arial" w:hAnsi="Arial" w:cs="Arial"/>
          <w:b/>
          <w:caps/>
          <w:sz w:val="20"/>
          <w:szCs w:val="20"/>
        </w:rPr>
        <w:t xml:space="preserve">THE POPULATION OF THE MUNICIPALITIES IN </w:t>
      </w:r>
      <w:r w:rsidRPr="00BE4B19">
        <w:rPr>
          <w:rFonts w:ascii="Arial" w:hAnsi="Arial" w:cs="Arial"/>
          <w:b/>
          <w:i/>
          <w:caps/>
          <w:sz w:val="20"/>
          <w:szCs w:val="20"/>
        </w:rPr>
        <w:t>STARA ZAGORA</w:t>
      </w:r>
    </w:p>
    <w:p w:rsidR="00754199" w:rsidRPr="00911B25" w:rsidRDefault="00754199" w:rsidP="00754199">
      <w:pPr>
        <w:jc w:val="center"/>
        <w:rPr>
          <w:rFonts w:ascii="Arial" w:hAnsi="Arial" w:cs="Arial"/>
          <w:b/>
          <w:caps/>
          <w:sz w:val="20"/>
          <w:szCs w:val="20"/>
          <w:lang w:val="en-US"/>
        </w:rPr>
      </w:pPr>
    </w:p>
    <w:p w:rsidR="00754199" w:rsidRPr="002B7554" w:rsidRDefault="00754199" w:rsidP="00754199">
      <w:pPr>
        <w:jc w:val="center"/>
        <w:rPr>
          <w:rFonts w:ascii="Arial" w:hAnsi="Arial" w:cs="Arial"/>
          <w:sz w:val="20"/>
          <w:szCs w:val="20"/>
          <w:vertAlign w:val="superscript"/>
        </w:rPr>
      </w:pPr>
      <w:r>
        <w:rPr>
          <w:rFonts w:ascii="Arial" w:hAnsi="Arial" w:cs="Arial"/>
          <w:b/>
          <w:sz w:val="20"/>
          <w:szCs w:val="20"/>
        </w:rPr>
        <w:t>Т</w:t>
      </w:r>
      <w:r w:rsidRPr="002B7554">
        <w:rPr>
          <w:rFonts w:ascii="Arial" w:hAnsi="Arial" w:cs="Arial"/>
          <w:b/>
          <w:sz w:val="20"/>
          <w:szCs w:val="20"/>
        </w:rPr>
        <w:t>еодор Радев</w:t>
      </w:r>
      <w:r>
        <w:rPr>
          <w:rFonts w:ascii="Arial" w:hAnsi="Arial" w:cs="Arial"/>
          <w:b/>
          <w:sz w:val="20"/>
          <w:szCs w:val="20"/>
        </w:rPr>
        <w:t>*</w:t>
      </w:r>
      <w:r w:rsidRPr="00966BB5">
        <w:rPr>
          <w:rFonts w:ascii="Arial" w:hAnsi="Arial" w:cs="Arial"/>
          <w:b/>
          <w:sz w:val="20"/>
          <w:szCs w:val="20"/>
          <w:lang w:val="bg-BG"/>
        </w:rPr>
        <w:t>,</w:t>
      </w:r>
      <w:r>
        <w:rPr>
          <w:rFonts w:ascii="Arial" w:hAnsi="Arial" w:cs="Arial"/>
          <w:sz w:val="20"/>
          <w:szCs w:val="20"/>
          <w:lang w:val="en-US"/>
        </w:rPr>
        <w:t xml:space="preserve"> </w:t>
      </w:r>
      <w:r w:rsidRPr="002B7554">
        <w:rPr>
          <w:rFonts w:ascii="Arial" w:hAnsi="Arial" w:cs="Arial"/>
          <w:b/>
          <w:sz w:val="20"/>
          <w:szCs w:val="20"/>
        </w:rPr>
        <w:t>Тихомира Радева</w:t>
      </w:r>
    </w:p>
    <w:p w:rsidR="00754199" w:rsidRDefault="00754199" w:rsidP="00754199">
      <w:pPr>
        <w:jc w:val="center"/>
        <w:rPr>
          <w:rFonts w:ascii="Arial" w:hAnsi="Arial" w:cs="Arial"/>
          <w:b/>
          <w:sz w:val="20"/>
          <w:szCs w:val="20"/>
          <w:lang w:val="en-US"/>
        </w:rPr>
      </w:pPr>
      <w:r w:rsidRPr="00C10943">
        <w:rPr>
          <w:rFonts w:ascii="Arial" w:hAnsi="Arial" w:cs="Arial"/>
          <w:b/>
          <w:sz w:val="20"/>
          <w:szCs w:val="20"/>
          <w:lang w:val="en-US"/>
        </w:rPr>
        <w:t>Teodor Radev</w:t>
      </w:r>
      <w:r>
        <w:rPr>
          <w:rFonts w:ascii="Arial" w:hAnsi="Arial" w:cs="Arial"/>
          <w:b/>
          <w:sz w:val="20"/>
          <w:szCs w:val="20"/>
          <w:lang w:val="en-US"/>
        </w:rPr>
        <w:t>*, Tihomira Radeva</w:t>
      </w:r>
    </w:p>
    <w:p w:rsidR="00754199" w:rsidRPr="00C10943" w:rsidRDefault="00754199" w:rsidP="00754199">
      <w:pPr>
        <w:jc w:val="center"/>
        <w:rPr>
          <w:rFonts w:ascii="Arial" w:hAnsi="Arial" w:cs="Arial"/>
          <w:b/>
          <w:sz w:val="20"/>
          <w:szCs w:val="20"/>
          <w:lang w:val="en-US"/>
        </w:rPr>
      </w:pPr>
    </w:p>
    <w:p w:rsidR="00754199" w:rsidRPr="00345447" w:rsidRDefault="00754199" w:rsidP="00754199">
      <w:pPr>
        <w:jc w:val="center"/>
        <w:rPr>
          <w:rFonts w:ascii="Arial" w:hAnsi="Arial" w:cs="Arial"/>
          <w:sz w:val="20"/>
          <w:szCs w:val="20"/>
        </w:rPr>
      </w:pPr>
      <w:r w:rsidRPr="00345447">
        <w:rPr>
          <w:rFonts w:ascii="Arial" w:hAnsi="Arial" w:cs="Arial"/>
          <w:sz w:val="20"/>
          <w:szCs w:val="20"/>
        </w:rPr>
        <w:t xml:space="preserve">Аграрен университет </w:t>
      </w:r>
      <w:r>
        <w:rPr>
          <w:rFonts w:ascii="Arial" w:hAnsi="Arial" w:cs="Arial"/>
          <w:sz w:val="20"/>
          <w:szCs w:val="20"/>
          <w:lang w:val="bg-BG"/>
        </w:rPr>
        <w:t xml:space="preserve">– </w:t>
      </w:r>
      <w:r w:rsidRPr="00345447">
        <w:rPr>
          <w:rFonts w:ascii="Arial" w:hAnsi="Arial" w:cs="Arial"/>
          <w:sz w:val="20"/>
          <w:szCs w:val="20"/>
        </w:rPr>
        <w:t>Пловдив</w:t>
      </w:r>
    </w:p>
    <w:p w:rsidR="00754199" w:rsidRDefault="00754199" w:rsidP="00754199">
      <w:pPr>
        <w:jc w:val="center"/>
        <w:rPr>
          <w:rFonts w:ascii="Arial" w:hAnsi="Arial" w:cs="Arial"/>
          <w:sz w:val="20"/>
          <w:szCs w:val="20"/>
        </w:rPr>
      </w:pPr>
      <w:r>
        <w:rPr>
          <w:rFonts w:ascii="Arial" w:hAnsi="Arial" w:cs="Arial"/>
          <w:sz w:val="20"/>
          <w:szCs w:val="20"/>
        </w:rPr>
        <w:t>Agricultural University – Plovdiv</w:t>
      </w:r>
    </w:p>
    <w:p w:rsidR="00754199" w:rsidRPr="00911B25" w:rsidRDefault="00754199" w:rsidP="00754199">
      <w:pPr>
        <w:jc w:val="center"/>
        <w:rPr>
          <w:rFonts w:ascii="Arial" w:hAnsi="Arial" w:cs="Arial"/>
          <w:sz w:val="20"/>
          <w:szCs w:val="20"/>
        </w:rPr>
      </w:pPr>
    </w:p>
    <w:p w:rsidR="00754199" w:rsidRPr="00A57690" w:rsidRDefault="00754199" w:rsidP="00754199">
      <w:pPr>
        <w:jc w:val="center"/>
        <w:rPr>
          <w:rFonts w:ascii="Arial" w:hAnsi="Arial" w:cs="Arial"/>
          <w:sz w:val="20"/>
          <w:szCs w:val="20"/>
          <w:lang w:val="en-US"/>
        </w:rPr>
      </w:pPr>
      <w:r>
        <w:rPr>
          <w:rFonts w:ascii="Arial" w:hAnsi="Arial" w:cs="Arial"/>
          <w:b/>
          <w:sz w:val="20"/>
          <w:szCs w:val="20"/>
          <w:lang w:val="en-US"/>
        </w:rPr>
        <w:t>*E-mail</w:t>
      </w:r>
      <w:r>
        <w:rPr>
          <w:rFonts w:ascii="Arial" w:hAnsi="Arial" w:cs="Arial"/>
          <w:b/>
          <w:sz w:val="20"/>
          <w:szCs w:val="20"/>
          <w:lang w:val="bg-BG"/>
        </w:rPr>
        <w:t xml:space="preserve">: </w:t>
      </w:r>
      <w:r w:rsidRPr="00A57690">
        <w:rPr>
          <w:rFonts w:ascii="Arial" w:hAnsi="Arial" w:cs="Arial"/>
          <w:b/>
          <w:sz w:val="20"/>
          <w:szCs w:val="20"/>
          <w:lang w:val="en-US"/>
        </w:rPr>
        <w:t>radev1974@abv.bg</w:t>
      </w:r>
    </w:p>
    <w:p w:rsidR="00754199" w:rsidRDefault="00754199" w:rsidP="00754199">
      <w:pPr>
        <w:jc w:val="center"/>
        <w:rPr>
          <w:rFonts w:ascii="Arial" w:hAnsi="Arial" w:cs="Arial"/>
          <w:sz w:val="20"/>
          <w:szCs w:val="20"/>
          <w:lang w:val="en-US"/>
        </w:rPr>
      </w:pPr>
    </w:p>
    <w:p w:rsidR="00754199" w:rsidRPr="0021625B" w:rsidRDefault="00754199" w:rsidP="00754199">
      <w:pPr>
        <w:jc w:val="center"/>
        <w:rPr>
          <w:rFonts w:ascii="Arial" w:hAnsi="Arial" w:cs="Arial"/>
          <w:sz w:val="20"/>
          <w:szCs w:val="20"/>
          <w:lang w:val="en-US"/>
        </w:rPr>
      </w:pPr>
      <w:r w:rsidRPr="0021625B">
        <w:rPr>
          <w:rFonts w:ascii="Arial" w:hAnsi="Arial" w:cs="Arial"/>
          <w:b/>
          <w:sz w:val="20"/>
          <w:szCs w:val="20"/>
          <w:lang w:val="en-US"/>
        </w:rPr>
        <w:t>Abstract</w:t>
      </w:r>
    </w:p>
    <w:p w:rsidR="00754199" w:rsidRPr="0021625B" w:rsidRDefault="00754199" w:rsidP="007C03E8">
      <w:pPr>
        <w:autoSpaceDE w:val="0"/>
        <w:autoSpaceDN w:val="0"/>
        <w:adjustRightInd w:val="0"/>
        <w:ind w:firstLine="680"/>
        <w:jc w:val="both"/>
        <w:rPr>
          <w:rFonts w:ascii="Arial" w:hAnsi="Arial" w:cs="Arial"/>
          <w:sz w:val="20"/>
          <w:szCs w:val="20"/>
        </w:rPr>
      </w:pPr>
      <w:r w:rsidRPr="0021625B">
        <w:rPr>
          <w:rFonts w:ascii="Arial" w:hAnsi="Arial" w:cs="Arial"/>
          <w:sz w:val="20"/>
          <w:szCs w:val="20"/>
        </w:rPr>
        <w:t xml:space="preserve">Regional development is recognized as a stimulating factor for the economic growth of the national economy. The regional approach is distinguished by the fact that </w:t>
      </w:r>
      <w:r w:rsidRPr="009773C4">
        <w:rPr>
          <w:rFonts w:ascii="Arial" w:hAnsi="Arial" w:cs="Arial"/>
          <w:sz w:val="20"/>
          <w:szCs w:val="20"/>
        </w:rPr>
        <w:t>local resources are being used and developed</w:t>
      </w:r>
      <w:r>
        <w:rPr>
          <w:rFonts w:ascii="Arial" w:hAnsi="Arial" w:cs="Arial"/>
          <w:sz w:val="20"/>
          <w:szCs w:val="20"/>
        </w:rPr>
        <w:t xml:space="preserve">, thus </w:t>
      </w:r>
      <w:r w:rsidRPr="0021625B">
        <w:rPr>
          <w:rFonts w:ascii="Arial" w:hAnsi="Arial" w:cs="Arial"/>
          <w:sz w:val="20"/>
          <w:szCs w:val="20"/>
        </w:rPr>
        <w:t>exploit</w:t>
      </w:r>
      <w:r>
        <w:rPr>
          <w:rFonts w:ascii="Arial" w:hAnsi="Arial" w:cs="Arial"/>
          <w:sz w:val="20"/>
          <w:szCs w:val="20"/>
        </w:rPr>
        <w:t>ing</w:t>
      </w:r>
      <w:r w:rsidRPr="0021625B">
        <w:rPr>
          <w:rFonts w:ascii="Arial" w:hAnsi="Arial" w:cs="Arial"/>
          <w:sz w:val="20"/>
          <w:szCs w:val="20"/>
        </w:rPr>
        <w:t xml:space="preserve"> the opportunities to expand the </w:t>
      </w:r>
      <w:r>
        <w:rPr>
          <w:rFonts w:ascii="Arial" w:hAnsi="Arial" w:cs="Arial"/>
          <w:sz w:val="20"/>
          <w:szCs w:val="20"/>
        </w:rPr>
        <w:t>economic operations</w:t>
      </w:r>
      <w:r w:rsidRPr="0021625B">
        <w:rPr>
          <w:rFonts w:ascii="Arial" w:hAnsi="Arial" w:cs="Arial"/>
          <w:sz w:val="20"/>
          <w:szCs w:val="20"/>
        </w:rPr>
        <w:t xml:space="preserve">, resulting in </w:t>
      </w:r>
      <w:r>
        <w:rPr>
          <w:rFonts w:ascii="Arial" w:hAnsi="Arial" w:cs="Arial"/>
          <w:sz w:val="20"/>
          <w:szCs w:val="20"/>
        </w:rPr>
        <w:t xml:space="preserve">a </w:t>
      </w:r>
      <w:r w:rsidRPr="0021625B">
        <w:rPr>
          <w:rFonts w:ascii="Arial" w:hAnsi="Arial" w:cs="Arial"/>
          <w:sz w:val="20"/>
          <w:szCs w:val="20"/>
        </w:rPr>
        <w:t>higher economic performance at the macro level. On the other</w:t>
      </w:r>
      <w:r>
        <w:rPr>
          <w:rFonts w:ascii="Arial" w:hAnsi="Arial" w:cs="Arial"/>
          <w:sz w:val="20"/>
          <w:szCs w:val="20"/>
        </w:rPr>
        <w:t xml:space="preserve"> </w:t>
      </w:r>
      <w:r w:rsidRPr="0021625B">
        <w:rPr>
          <w:rFonts w:ascii="Arial" w:hAnsi="Arial" w:cs="Arial"/>
          <w:sz w:val="20"/>
          <w:szCs w:val="20"/>
        </w:rPr>
        <w:t>hand</w:t>
      </w:r>
      <w:r>
        <w:rPr>
          <w:rFonts w:ascii="Arial" w:hAnsi="Arial" w:cs="Arial"/>
          <w:sz w:val="20"/>
          <w:szCs w:val="20"/>
        </w:rPr>
        <w:t>,</w:t>
      </w:r>
      <w:r w:rsidRPr="0021625B">
        <w:rPr>
          <w:rFonts w:ascii="Arial" w:hAnsi="Arial" w:cs="Arial"/>
          <w:sz w:val="20"/>
          <w:szCs w:val="20"/>
        </w:rPr>
        <w:t xml:space="preserve"> between the regions there are large differen</w:t>
      </w:r>
      <w:r>
        <w:rPr>
          <w:rFonts w:ascii="Arial" w:hAnsi="Arial" w:cs="Arial"/>
          <w:sz w:val="20"/>
          <w:szCs w:val="20"/>
        </w:rPr>
        <w:t>ces in terms of their potential</w:t>
      </w:r>
      <w:r w:rsidRPr="0021625B">
        <w:rPr>
          <w:rFonts w:ascii="Arial" w:hAnsi="Arial" w:cs="Arial"/>
          <w:sz w:val="20"/>
          <w:szCs w:val="20"/>
        </w:rPr>
        <w:t xml:space="preserve"> and the trend of their development. Providing economic support for the local population makes </w:t>
      </w:r>
      <w:r>
        <w:rPr>
          <w:rFonts w:ascii="Arial" w:hAnsi="Arial" w:cs="Arial"/>
          <w:sz w:val="20"/>
          <w:szCs w:val="20"/>
        </w:rPr>
        <w:t xml:space="preserve">the </w:t>
      </w:r>
      <w:r w:rsidRPr="0021625B">
        <w:rPr>
          <w:rFonts w:ascii="Arial" w:hAnsi="Arial" w:cs="Arial"/>
          <w:sz w:val="20"/>
          <w:szCs w:val="20"/>
        </w:rPr>
        <w:t>area attractive for living and creates an incentive for the overall development of the local society.</w:t>
      </w:r>
      <w:r w:rsidR="007C03E8">
        <w:rPr>
          <w:rFonts w:ascii="Arial" w:hAnsi="Arial" w:cs="Arial"/>
          <w:sz w:val="20"/>
          <w:szCs w:val="20"/>
        </w:rPr>
        <w:t xml:space="preserve"> </w:t>
      </w:r>
      <w:r w:rsidRPr="0021625B">
        <w:rPr>
          <w:rFonts w:ascii="Arial" w:hAnsi="Arial" w:cs="Arial"/>
          <w:sz w:val="20"/>
          <w:szCs w:val="20"/>
        </w:rPr>
        <w:t>The purpose of th</w:t>
      </w:r>
      <w:r>
        <w:rPr>
          <w:rFonts w:ascii="Arial" w:hAnsi="Arial" w:cs="Arial"/>
          <w:sz w:val="20"/>
          <w:szCs w:val="20"/>
        </w:rPr>
        <w:t>e</w:t>
      </w:r>
      <w:r w:rsidRPr="0021625B">
        <w:rPr>
          <w:rFonts w:ascii="Arial" w:hAnsi="Arial" w:cs="Arial"/>
          <w:sz w:val="20"/>
          <w:szCs w:val="20"/>
        </w:rPr>
        <w:t xml:space="preserve"> article is to determine the potential of the selected municipalities for economic support for their population.</w:t>
      </w:r>
      <w:r w:rsidR="00A0041F">
        <w:rPr>
          <w:rFonts w:ascii="Arial" w:hAnsi="Arial" w:cs="Arial"/>
          <w:sz w:val="20"/>
          <w:szCs w:val="20"/>
          <w:lang w:val="bg-BG"/>
        </w:rPr>
        <w:t xml:space="preserve"> </w:t>
      </w:r>
      <w:r w:rsidRPr="0021625B">
        <w:rPr>
          <w:rFonts w:ascii="Arial" w:hAnsi="Arial" w:cs="Arial"/>
          <w:sz w:val="20"/>
          <w:szCs w:val="20"/>
        </w:rPr>
        <w:t>The survey results show very large differences in the values of indicators by municipalities. This determines the unbalanced regional development, even in relatively small areas such as districts. Conducting a more detailed study can answer the question of how to exploit the potential of a municipality to promote the development of others and achieve synergistic effects.</w:t>
      </w:r>
    </w:p>
    <w:p w:rsidR="00754199" w:rsidRPr="0021625B" w:rsidRDefault="00754199" w:rsidP="00754199">
      <w:pPr>
        <w:autoSpaceDE w:val="0"/>
        <w:autoSpaceDN w:val="0"/>
        <w:adjustRightInd w:val="0"/>
        <w:ind w:firstLine="680"/>
        <w:rPr>
          <w:rFonts w:ascii="Arial" w:hAnsi="Arial" w:cs="Arial"/>
          <w:sz w:val="20"/>
          <w:szCs w:val="20"/>
        </w:rPr>
      </w:pPr>
      <w:r w:rsidRPr="0021625B">
        <w:rPr>
          <w:rFonts w:ascii="Arial" w:hAnsi="Arial" w:cs="Arial"/>
          <w:b/>
          <w:sz w:val="20"/>
          <w:szCs w:val="20"/>
        </w:rPr>
        <w:t>Keywords</w:t>
      </w:r>
      <w:r w:rsidRPr="0021625B">
        <w:rPr>
          <w:rFonts w:ascii="Arial" w:hAnsi="Arial" w:cs="Arial"/>
          <w:b/>
          <w:sz w:val="20"/>
          <w:szCs w:val="20"/>
          <w:lang w:val="en-US"/>
        </w:rPr>
        <w:t xml:space="preserve">: </w:t>
      </w:r>
      <w:r w:rsidRPr="0021625B">
        <w:rPr>
          <w:rFonts w:ascii="Arial" w:hAnsi="Arial" w:cs="Arial"/>
          <w:sz w:val="20"/>
          <w:szCs w:val="20"/>
        </w:rPr>
        <w:t>еconomic support</w:t>
      </w:r>
      <w:r>
        <w:rPr>
          <w:rFonts w:ascii="Arial" w:hAnsi="Arial" w:cs="Arial"/>
          <w:sz w:val="20"/>
          <w:szCs w:val="20"/>
        </w:rPr>
        <w:t>,</w:t>
      </w:r>
      <w:r w:rsidRPr="0021625B">
        <w:rPr>
          <w:rFonts w:ascii="Arial" w:hAnsi="Arial" w:cs="Arial"/>
          <w:sz w:val="20"/>
          <w:szCs w:val="20"/>
        </w:rPr>
        <w:t xml:space="preserve"> municipality, AHP method</w:t>
      </w:r>
      <w:r>
        <w:rPr>
          <w:rFonts w:ascii="Arial" w:hAnsi="Arial" w:cs="Arial"/>
          <w:sz w:val="20"/>
          <w:szCs w:val="20"/>
        </w:rPr>
        <w:t>.</w:t>
      </w:r>
    </w:p>
    <w:p w:rsidR="00754199" w:rsidRPr="00FF7897" w:rsidRDefault="00754199" w:rsidP="00754199">
      <w:pPr>
        <w:autoSpaceDE w:val="0"/>
        <w:autoSpaceDN w:val="0"/>
        <w:adjustRightInd w:val="0"/>
        <w:ind w:firstLine="567"/>
        <w:jc w:val="both"/>
        <w:rPr>
          <w:rFonts w:ascii="Arial" w:hAnsi="Arial" w:cs="Arial"/>
          <w:sz w:val="16"/>
          <w:szCs w:val="16"/>
        </w:rPr>
      </w:pPr>
    </w:p>
    <w:p w:rsidR="00754199" w:rsidRPr="00AD3984" w:rsidRDefault="00754199" w:rsidP="00754199">
      <w:pPr>
        <w:autoSpaceDE w:val="0"/>
        <w:autoSpaceDN w:val="0"/>
        <w:adjustRightInd w:val="0"/>
        <w:jc w:val="center"/>
        <w:rPr>
          <w:rFonts w:ascii="Arial" w:hAnsi="Arial" w:cs="Arial"/>
          <w:b/>
          <w:iCs/>
          <w:caps/>
          <w:sz w:val="20"/>
          <w:szCs w:val="20"/>
        </w:rPr>
      </w:pPr>
      <w:r w:rsidRPr="00AD3984">
        <w:rPr>
          <w:rFonts w:ascii="Arial" w:hAnsi="Arial" w:cs="Arial"/>
          <w:b/>
          <w:iCs/>
          <w:caps/>
          <w:sz w:val="20"/>
          <w:szCs w:val="20"/>
        </w:rPr>
        <w:t>Въведение</w:t>
      </w:r>
    </w:p>
    <w:p w:rsidR="00754199" w:rsidRPr="006973B4" w:rsidRDefault="00754199" w:rsidP="00754199">
      <w:pPr>
        <w:ind w:firstLine="680"/>
        <w:jc w:val="both"/>
        <w:rPr>
          <w:rFonts w:ascii="Arial" w:hAnsi="Arial" w:cs="Arial"/>
          <w:sz w:val="20"/>
          <w:szCs w:val="20"/>
        </w:rPr>
      </w:pPr>
      <w:r w:rsidRPr="006973B4">
        <w:rPr>
          <w:rFonts w:ascii="Arial" w:hAnsi="Arial" w:cs="Arial"/>
          <w:sz w:val="20"/>
          <w:szCs w:val="20"/>
        </w:rPr>
        <w:t xml:space="preserve">Развитието на регионите се разглежда като стимулиращ фактор за икономически растеж на националната икономика. </w:t>
      </w:r>
      <w:r>
        <w:rPr>
          <w:rFonts w:ascii="Arial" w:hAnsi="Arial" w:cs="Arial"/>
          <w:sz w:val="20"/>
          <w:szCs w:val="20"/>
        </w:rPr>
        <w:t>Регионалният подход се отличава</w:t>
      </w:r>
      <w:r w:rsidRPr="006973B4">
        <w:rPr>
          <w:rFonts w:ascii="Arial" w:hAnsi="Arial" w:cs="Arial"/>
          <w:sz w:val="20"/>
          <w:szCs w:val="20"/>
        </w:rPr>
        <w:t xml:space="preserve"> с това</w:t>
      </w:r>
      <w:r>
        <w:rPr>
          <w:rFonts w:ascii="Arial" w:hAnsi="Arial" w:cs="Arial"/>
          <w:sz w:val="20"/>
          <w:szCs w:val="20"/>
          <w:lang w:val="bg-BG"/>
        </w:rPr>
        <w:t>,</w:t>
      </w:r>
      <w:r w:rsidRPr="006973B4">
        <w:rPr>
          <w:rFonts w:ascii="Arial" w:hAnsi="Arial" w:cs="Arial"/>
          <w:sz w:val="20"/>
          <w:szCs w:val="20"/>
        </w:rPr>
        <w:t xml:space="preserve"> че се използват и развиват местни дадености, като по този начин се оползотворяват възможностите за разширяване на стопанската дейност, което води </w:t>
      </w:r>
      <w:r>
        <w:rPr>
          <w:rFonts w:ascii="Arial" w:hAnsi="Arial" w:cs="Arial"/>
          <w:sz w:val="20"/>
          <w:szCs w:val="20"/>
          <w:lang w:val="bg-BG"/>
        </w:rPr>
        <w:t xml:space="preserve">до </w:t>
      </w:r>
      <w:r w:rsidRPr="006973B4">
        <w:rPr>
          <w:rFonts w:ascii="Arial" w:hAnsi="Arial" w:cs="Arial"/>
          <w:sz w:val="20"/>
          <w:szCs w:val="20"/>
        </w:rPr>
        <w:t>по-високи икономически резултати на макрониво. От друга страна</w:t>
      </w:r>
      <w:r>
        <w:rPr>
          <w:rFonts w:ascii="Arial" w:hAnsi="Arial" w:cs="Arial"/>
          <w:sz w:val="20"/>
          <w:szCs w:val="20"/>
          <w:lang w:val="bg-BG"/>
        </w:rPr>
        <w:t>,</w:t>
      </w:r>
      <w:r w:rsidRPr="006973B4">
        <w:rPr>
          <w:rFonts w:ascii="Arial" w:hAnsi="Arial" w:cs="Arial"/>
          <w:sz w:val="20"/>
          <w:szCs w:val="20"/>
        </w:rPr>
        <w:t xml:space="preserve"> между отделните реги</w:t>
      </w:r>
      <w:r>
        <w:rPr>
          <w:rFonts w:ascii="Arial" w:hAnsi="Arial" w:cs="Arial"/>
          <w:sz w:val="20"/>
          <w:szCs w:val="20"/>
        </w:rPr>
        <w:t>они съществуват големи различия</w:t>
      </w:r>
      <w:r w:rsidRPr="006973B4">
        <w:rPr>
          <w:rFonts w:ascii="Arial" w:hAnsi="Arial" w:cs="Arial"/>
          <w:sz w:val="20"/>
          <w:szCs w:val="20"/>
        </w:rPr>
        <w:t xml:space="preserve"> както по отношение на техния потенциал, така и в тенденциите им на развитие.</w:t>
      </w:r>
    </w:p>
    <w:p w:rsidR="00754199" w:rsidRPr="00D10C1D" w:rsidRDefault="00754199" w:rsidP="00754199">
      <w:pPr>
        <w:ind w:firstLine="680"/>
        <w:jc w:val="both"/>
        <w:rPr>
          <w:rFonts w:ascii="Arial" w:hAnsi="Arial" w:cs="Arial"/>
          <w:sz w:val="20"/>
          <w:szCs w:val="20"/>
        </w:rPr>
      </w:pPr>
      <w:r w:rsidRPr="00D10C1D">
        <w:rPr>
          <w:rFonts w:ascii="Arial" w:hAnsi="Arial" w:cs="Arial"/>
          <w:sz w:val="20"/>
          <w:szCs w:val="20"/>
        </w:rPr>
        <w:lastRenderedPageBreak/>
        <w:t>Една от основните характеристики на всеки регион е демографската. В днешно време демографските процеси са изключително динамични, като повсеместно се наблюдават негативни тенденции. Основният фактор</w:t>
      </w:r>
      <w:r w:rsidRPr="00D10C1D">
        <w:rPr>
          <w:rFonts w:ascii="Arial" w:hAnsi="Arial" w:cs="Arial"/>
          <w:sz w:val="20"/>
          <w:szCs w:val="20"/>
          <w:lang w:val="bg-BG"/>
        </w:rPr>
        <w:t>,</w:t>
      </w:r>
      <w:r w:rsidRPr="00D10C1D">
        <w:rPr>
          <w:rFonts w:ascii="Arial" w:hAnsi="Arial" w:cs="Arial"/>
          <w:sz w:val="20"/>
          <w:szCs w:val="20"/>
        </w:rPr>
        <w:t xml:space="preserve"> с който се обясняват тези тенденции</w:t>
      </w:r>
      <w:r w:rsidRPr="00D10C1D">
        <w:rPr>
          <w:rFonts w:ascii="Arial" w:hAnsi="Arial" w:cs="Arial"/>
          <w:sz w:val="20"/>
          <w:szCs w:val="20"/>
          <w:lang w:val="bg-BG"/>
        </w:rPr>
        <w:t>,</w:t>
      </w:r>
      <w:r w:rsidRPr="00D10C1D">
        <w:rPr>
          <w:rFonts w:ascii="Arial" w:hAnsi="Arial" w:cs="Arial"/>
          <w:sz w:val="20"/>
          <w:szCs w:val="20"/>
        </w:rPr>
        <w:t xml:space="preserve"> е икономическия</w:t>
      </w:r>
      <w:r w:rsidRPr="00D10C1D">
        <w:rPr>
          <w:rFonts w:ascii="Arial" w:hAnsi="Arial" w:cs="Arial"/>
          <w:sz w:val="20"/>
          <w:szCs w:val="20"/>
          <w:lang w:val="bg-BG"/>
        </w:rPr>
        <w:t>т</w:t>
      </w:r>
      <w:r w:rsidRPr="00D10C1D">
        <w:rPr>
          <w:rFonts w:ascii="Arial" w:hAnsi="Arial" w:cs="Arial"/>
          <w:sz w:val="20"/>
          <w:szCs w:val="20"/>
        </w:rPr>
        <w:t>. Поддържането и развитието на икономиката в даден регион чрез инвестиции и подобряване на средата за бизнес може да забави тези негативни процеси и дори да ги елиминира</w:t>
      </w:r>
      <w:r w:rsidRPr="00D10C1D">
        <w:rPr>
          <w:rFonts w:ascii="Arial" w:hAnsi="Arial" w:cs="Arial"/>
          <w:sz w:val="20"/>
          <w:szCs w:val="20"/>
          <w:lang w:val="en-US"/>
        </w:rPr>
        <w:t xml:space="preserve"> (Dirimanova,</w:t>
      </w:r>
      <w:r w:rsidRPr="00D10C1D">
        <w:rPr>
          <w:rFonts w:ascii="Arial" w:hAnsi="Arial" w:cs="Arial"/>
          <w:i/>
          <w:sz w:val="20"/>
          <w:szCs w:val="20"/>
          <w:lang w:val="en-US"/>
        </w:rPr>
        <w:t xml:space="preserve"> </w:t>
      </w:r>
      <w:r w:rsidRPr="00D10C1D">
        <w:rPr>
          <w:rFonts w:ascii="Arial" w:hAnsi="Arial" w:cs="Arial"/>
          <w:sz w:val="20"/>
          <w:szCs w:val="20"/>
          <w:lang w:val="en-US"/>
        </w:rPr>
        <w:t>2013)</w:t>
      </w:r>
      <w:r w:rsidRPr="00D10C1D">
        <w:rPr>
          <w:rFonts w:ascii="Arial" w:hAnsi="Arial" w:cs="Arial"/>
          <w:sz w:val="20"/>
          <w:szCs w:val="20"/>
        </w:rPr>
        <w:t>. Оказването на икономическа подкрепа за местното население превръща дадена територия в атрактивна за живеене и създава стимул за цялостно развитие на местното общество.</w:t>
      </w:r>
    </w:p>
    <w:p w:rsidR="00754199" w:rsidRPr="00D10C1D" w:rsidRDefault="00754199" w:rsidP="00754199">
      <w:pPr>
        <w:ind w:firstLine="680"/>
        <w:jc w:val="both"/>
        <w:rPr>
          <w:rFonts w:ascii="Arial" w:hAnsi="Arial" w:cs="Arial"/>
          <w:sz w:val="20"/>
          <w:szCs w:val="20"/>
        </w:rPr>
      </w:pPr>
      <w:r w:rsidRPr="00D10C1D">
        <w:rPr>
          <w:rFonts w:ascii="Arial" w:hAnsi="Arial" w:cs="Arial"/>
          <w:sz w:val="20"/>
          <w:szCs w:val="20"/>
        </w:rPr>
        <w:t>Целта на статията е да се установи потенциал</w:t>
      </w:r>
      <w:r w:rsidRPr="00D10C1D">
        <w:rPr>
          <w:rFonts w:ascii="Arial" w:hAnsi="Arial" w:cs="Arial"/>
          <w:sz w:val="20"/>
          <w:szCs w:val="20"/>
          <w:lang w:val="bg-BG"/>
        </w:rPr>
        <w:t>ът</w:t>
      </w:r>
      <w:r w:rsidRPr="00D10C1D">
        <w:rPr>
          <w:rFonts w:ascii="Arial" w:hAnsi="Arial" w:cs="Arial"/>
          <w:sz w:val="20"/>
          <w:szCs w:val="20"/>
        </w:rPr>
        <w:t xml:space="preserve"> на избрани общини за икономическа подкрепа за населението и да се направи сравнение между тях.</w:t>
      </w:r>
    </w:p>
    <w:p w:rsidR="00754199" w:rsidRPr="00D10C1D" w:rsidRDefault="00754199" w:rsidP="00754199">
      <w:pPr>
        <w:autoSpaceDE w:val="0"/>
        <w:autoSpaceDN w:val="0"/>
        <w:adjustRightInd w:val="0"/>
        <w:ind w:firstLine="680"/>
        <w:jc w:val="both"/>
        <w:rPr>
          <w:rFonts w:ascii="Arial" w:hAnsi="Arial" w:cs="Arial"/>
          <w:i/>
          <w:iCs/>
          <w:sz w:val="20"/>
          <w:szCs w:val="20"/>
        </w:rPr>
      </w:pPr>
      <w:r w:rsidRPr="00D10C1D">
        <w:rPr>
          <w:rFonts w:ascii="Arial" w:hAnsi="Arial" w:cs="Arial"/>
          <w:sz w:val="20"/>
          <w:szCs w:val="20"/>
        </w:rPr>
        <w:t>Обект на анализ са общините, които са основната административно-териториална единица в РБългария и осигуряват местното управление и развитие. Анализират се общините от област Стара Загора, която се отличава с макроикономически показатели над средните за страната.</w:t>
      </w:r>
    </w:p>
    <w:p w:rsidR="00754199" w:rsidRPr="00D10C1D" w:rsidRDefault="00754199" w:rsidP="00754199">
      <w:pPr>
        <w:autoSpaceDE w:val="0"/>
        <w:autoSpaceDN w:val="0"/>
        <w:adjustRightInd w:val="0"/>
        <w:jc w:val="center"/>
        <w:rPr>
          <w:rFonts w:ascii="Arial" w:hAnsi="Arial" w:cs="Arial"/>
          <w:b/>
          <w:iCs/>
          <w:sz w:val="20"/>
          <w:szCs w:val="20"/>
          <w:lang w:val="bg-BG"/>
        </w:rPr>
      </w:pPr>
    </w:p>
    <w:p w:rsidR="00754199" w:rsidRDefault="00754199" w:rsidP="00754199">
      <w:pPr>
        <w:autoSpaceDE w:val="0"/>
        <w:autoSpaceDN w:val="0"/>
        <w:adjustRightInd w:val="0"/>
        <w:jc w:val="center"/>
        <w:rPr>
          <w:rFonts w:ascii="Arial" w:hAnsi="Arial" w:cs="Arial"/>
          <w:iCs/>
          <w:sz w:val="20"/>
          <w:szCs w:val="20"/>
          <w:lang w:val="bg-BG"/>
        </w:rPr>
      </w:pPr>
      <w:r w:rsidRPr="002C297B">
        <w:rPr>
          <w:rFonts w:ascii="Arial" w:hAnsi="Arial" w:cs="Arial"/>
          <w:b/>
          <w:iCs/>
          <w:sz w:val="20"/>
          <w:szCs w:val="20"/>
        </w:rPr>
        <w:t>Таблица 1</w:t>
      </w:r>
      <w:r>
        <w:rPr>
          <w:rFonts w:ascii="Arial" w:hAnsi="Arial" w:cs="Arial"/>
          <w:b/>
          <w:iCs/>
          <w:sz w:val="20"/>
          <w:szCs w:val="20"/>
          <w:lang w:val="bg-BG"/>
        </w:rPr>
        <w:t xml:space="preserve">. </w:t>
      </w:r>
      <w:r w:rsidRPr="0021625B">
        <w:rPr>
          <w:rFonts w:ascii="Arial" w:hAnsi="Arial" w:cs="Arial"/>
          <w:iCs/>
          <w:sz w:val="20"/>
          <w:szCs w:val="20"/>
        </w:rPr>
        <w:t>Общините от област Стара Загора</w:t>
      </w:r>
    </w:p>
    <w:p w:rsidR="00754199" w:rsidRPr="0021625B" w:rsidRDefault="00754199" w:rsidP="00754199">
      <w:pPr>
        <w:autoSpaceDE w:val="0"/>
        <w:autoSpaceDN w:val="0"/>
        <w:adjustRightInd w:val="0"/>
        <w:jc w:val="center"/>
        <w:rPr>
          <w:rFonts w:ascii="Arial" w:hAnsi="Arial" w:cs="Arial"/>
          <w:b/>
          <w:iCs/>
          <w:sz w:val="20"/>
          <w:szCs w:val="20"/>
          <w:lang w:val="bg-BG"/>
        </w:rPr>
      </w:pPr>
    </w:p>
    <w:tbl>
      <w:tblPr>
        <w:tblW w:w="4912" w:type="pct"/>
        <w:tblInd w:w="70" w:type="dxa"/>
        <w:tblCellMar>
          <w:left w:w="70" w:type="dxa"/>
          <w:right w:w="70" w:type="dxa"/>
        </w:tblCellMar>
        <w:tblLook w:val="04A0" w:firstRow="1" w:lastRow="0" w:firstColumn="1" w:lastColumn="0" w:noHBand="0" w:noVBand="1"/>
      </w:tblPr>
      <w:tblGrid>
        <w:gridCol w:w="2107"/>
        <w:gridCol w:w="1904"/>
        <w:gridCol w:w="1574"/>
        <w:gridCol w:w="1793"/>
      </w:tblGrid>
      <w:tr w:rsidR="00754199" w:rsidRPr="00A57690" w:rsidTr="00EF03E1">
        <w:trPr>
          <w:trHeight w:val="457"/>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p>
        </w:tc>
        <w:tc>
          <w:tcPr>
            <w:tcW w:w="1290" w:type="pct"/>
            <w:tcBorders>
              <w:top w:val="single" w:sz="4" w:space="0" w:color="auto"/>
              <w:left w:val="nil"/>
              <w:bottom w:val="single" w:sz="4" w:space="0" w:color="auto"/>
              <w:right w:val="single" w:sz="4" w:space="0" w:color="auto"/>
            </w:tcBorders>
            <w:shd w:val="clear" w:color="auto" w:fill="auto"/>
            <w:vAlign w:val="center"/>
            <w:hideMark/>
          </w:tcPr>
          <w:p w:rsidR="00754199" w:rsidRPr="00CF74F7" w:rsidRDefault="00754199" w:rsidP="00F52A88">
            <w:pPr>
              <w:jc w:val="center"/>
              <w:rPr>
                <w:rFonts w:ascii="Arial" w:hAnsi="Arial" w:cs="Arial"/>
                <w:color w:val="000000"/>
                <w:sz w:val="20"/>
                <w:szCs w:val="20"/>
                <w:lang w:val="bg-BG" w:eastAsia="bg-BG"/>
              </w:rPr>
            </w:pPr>
            <w:r>
              <w:rPr>
                <w:rFonts w:ascii="Arial" w:hAnsi="Arial" w:cs="Arial"/>
                <w:color w:val="000000"/>
                <w:sz w:val="20"/>
                <w:szCs w:val="20"/>
                <w:lang w:val="bg-BG" w:eastAsia="bg-BG"/>
              </w:rPr>
              <w:t>П</w:t>
            </w:r>
            <w:r w:rsidRPr="0021625B">
              <w:rPr>
                <w:rFonts w:ascii="Arial" w:hAnsi="Arial" w:cs="Arial"/>
                <w:color w:val="000000"/>
                <w:sz w:val="20"/>
                <w:szCs w:val="20"/>
                <w:lang w:eastAsia="bg-BG"/>
              </w:rPr>
              <w:t>лощ кв.</w:t>
            </w:r>
            <w:r>
              <w:rPr>
                <w:rFonts w:ascii="Arial" w:hAnsi="Arial" w:cs="Arial"/>
                <w:color w:val="000000"/>
                <w:sz w:val="20"/>
                <w:szCs w:val="20"/>
                <w:lang w:val="bg-BG" w:eastAsia="bg-BG"/>
              </w:rPr>
              <w:t xml:space="preserve"> </w:t>
            </w:r>
            <w:r w:rsidRPr="0021625B">
              <w:rPr>
                <w:rFonts w:ascii="Arial" w:hAnsi="Arial" w:cs="Arial"/>
                <w:color w:val="000000"/>
                <w:sz w:val="20"/>
                <w:szCs w:val="20"/>
                <w:lang w:eastAsia="bg-BG"/>
              </w:rPr>
              <w:t>к</w:t>
            </w:r>
            <w:r>
              <w:rPr>
                <w:rFonts w:ascii="Arial" w:hAnsi="Arial" w:cs="Arial"/>
                <w:color w:val="000000"/>
                <w:sz w:val="20"/>
                <w:szCs w:val="20"/>
                <w:lang w:eastAsia="bg-BG"/>
              </w:rPr>
              <w:t>м</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52A88">
            <w:pPr>
              <w:jc w:val="center"/>
              <w:rPr>
                <w:rFonts w:ascii="Arial" w:hAnsi="Arial" w:cs="Arial"/>
                <w:color w:val="000000"/>
                <w:sz w:val="20"/>
                <w:szCs w:val="20"/>
                <w:lang w:eastAsia="bg-BG"/>
              </w:rPr>
            </w:pPr>
            <w:r>
              <w:rPr>
                <w:rFonts w:ascii="Arial" w:hAnsi="Arial" w:cs="Arial"/>
                <w:color w:val="000000"/>
                <w:sz w:val="20"/>
                <w:szCs w:val="20"/>
                <w:lang w:val="bg-BG" w:eastAsia="bg-BG"/>
              </w:rPr>
              <w:t>Н</w:t>
            </w:r>
            <w:r w:rsidRPr="0021625B">
              <w:rPr>
                <w:rFonts w:ascii="Arial" w:hAnsi="Arial" w:cs="Arial"/>
                <w:color w:val="000000"/>
                <w:sz w:val="20"/>
                <w:szCs w:val="20"/>
                <w:lang w:eastAsia="bg-BG"/>
              </w:rPr>
              <w:t>аселение</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52A88">
            <w:pPr>
              <w:jc w:val="center"/>
              <w:rPr>
                <w:rFonts w:ascii="Arial" w:hAnsi="Arial" w:cs="Arial"/>
                <w:color w:val="000000"/>
                <w:sz w:val="20"/>
                <w:szCs w:val="20"/>
                <w:lang w:eastAsia="bg-BG"/>
              </w:rPr>
            </w:pPr>
            <w:r>
              <w:rPr>
                <w:rFonts w:ascii="Arial" w:hAnsi="Arial" w:cs="Arial"/>
                <w:color w:val="000000"/>
                <w:sz w:val="20"/>
                <w:szCs w:val="20"/>
                <w:lang w:val="bg-BG" w:eastAsia="bg-BG"/>
              </w:rPr>
              <w:t>Б</w:t>
            </w:r>
            <w:r w:rsidRPr="0021625B">
              <w:rPr>
                <w:rFonts w:ascii="Arial" w:hAnsi="Arial" w:cs="Arial"/>
                <w:color w:val="000000"/>
                <w:sz w:val="20"/>
                <w:szCs w:val="20"/>
                <w:lang w:eastAsia="bg-BG"/>
              </w:rPr>
              <w:t>рой населени места</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Стара Загора</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1019</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160</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108</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50</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Казанлък</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634</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72</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581</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17</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Раднево</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545</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20</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079</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23</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Гълъбово</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348</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13</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394</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10</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Чирпан</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523</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21</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637</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20</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Павел Баня</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519</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14</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186</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12</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Гурково</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292</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5127</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10</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Николаево</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96</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4346</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3</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Мъглиж</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389</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10</w:t>
            </w:r>
            <w:r w:rsidRPr="0021625B">
              <w:rPr>
                <w:rFonts w:ascii="Arial" w:hAnsi="Arial" w:cs="Arial"/>
                <w:color w:val="000000"/>
                <w:sz w:val="20"/>
                <w:szCs w:val="20"/>
                <w:lang w:val="en-US" w:eastAsia="bg-BG"/>
              </w:rPr>
              <w:t xml:space="preserve"> </w:t>
            </w:r>
            <w:r w:rsidRPr="0021625B">
              <w:rPr>
                <w:rFonts w:ascii="Arial" w:hAnsi="Arial" w:cs="Arial"/>
                <w:color w:val="000000"/>
                <w:sz w:val="20"/>
                <w:szCs w:val="20"/>
                <w:lang w:eastAsia="bg-BG"/>
              </w:rPr>
              <w:t>180</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14</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Братя Даскалови</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526</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8677</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23</w:t>
            </w:r>
          </w:p>
        </w:tc>
      </w:tr>
      <w:tr w:rsidR="00754199" w:rsidRPr="00A57690" w:rsidTr="00EF03E1">
        <w:trPr>
          <w:trHeight w:val="308"/>
        </w:trPr>
        <w:tc>
          <w:tcPr>
            <w:tcW w:w="1428"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Опан</w:t>
            </w:r>
          </w:p>
        </w:tc>
        <w:tc>
          <w:tcPr>
            <w:tcW w:w="129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257</w:t>
            </w:r>
          </w:p>
        </w:tc>
        <w:tc>
          <w:tcPr>
            <w:tcW w:w="1067"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2950</w:t>
            </w:r>
          </w:p>
        </w:tc>
        <w:tc>
          <w:tcPr>
            <w:tcW w:w="121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52A88">
            <w:pPr>
              <w:jc w:val="center"/>
              <w:rPr>
                <w:rFonts w:ascii="Arial" w:hAnsi="Arial" w:cs="Arial"/>
                <w:color w:val="000000"/>
                <w:sz w:val="20"/>
                <w:szCs w:val="20"/>
                <w:lang w:eastAsia="bg-BG"/>
              </w:rPr>
            </w:pPr>
            <w:r w:rsidRPr="0021625B">
              <w:rPr>
                <w:rFonts w:ascii="Arial" w:hAnsi="Arial" w:cs="Arial"/>
                <w:color w:val="000000"/>
                <w:sz w:val="20"/>
                <w:szCs w:val="20"/>
                <w:lang w:eastAsia="bg-BG"/>
              </w:rPr>
              <w:t>13</w:t>
            </w:r>
          </w:p>
        </w:tc>
      </w:tr>
    </w:tbl>
    <w:p w:rsidR="00754199" w:rsidRPr="009271C4" w:rsidRDefault="00754199" w:rsidP="00754199">
      <w:pPr>
        <w:autoSpaceDE w:val="0"/>
        <w:autoSpaceDN w:val="0"/>
        <w:adjustRightInd w:val="0"/>
        <w:spacing w:before="120"/>
        <w:ind w:left="397"/>
        <w:jc w:val="both"/>
        <w:rPr>
          <w:rFonts w:ascii="Arial" w:hAnsi="Arial" w:cs="Arial"/>
          <w:i/>
          <w:iCs/>
          <w:sz w:val="20"/>
          <w:szCs w:val="20"/>
        </w:rPr>
      </w:pPr>
      <w:r w:rsidRPr="009271C4">
        <w:rPr>
          <w:rFonts w:ascii="Arial" w:hAnsi="Arial" w:cs="Arial"/>
          <w:i/>
          <w:iCs/>
          <w:sz w:val="20"/>
          <w:szCs w:val="20"/>
        </w:rPr>
        <w:t>Източник: НСИ</w:t>
      </w:r>
    </w:p>
    <w:p w:rsidR="00754199" w:rsidRPr="00EB1838" w:rsidRDefault="00754199" w:rsidP="00754199">
      <w:pPr>
        <w:autoSpaceDE w:val="0"/>
        <w:autoSpaceDN w:val="0"/>
        <w:adjustRightInd w:val="0"/>
        <w:jc w:val="both"/>
        <w:rPr>
          <w:rFonts w:ascii="Arial" w:hAnsi="Arial" w:cs="Arial"/>
          <w:iCs/>
          <w:sz w:val="20"/>
          <w:szCs w:val="20"/>
        </w:rPr>
      </w:pPr>
    </w:p>
    <w:p w:rsidR="00754199" w:rsidRPr="00AD3984" w:rsidRDefault="00754199" w:rsidP="00754199">
      <w:pPr>
        <w:autoSpaceDE w:val="0"/>
        <w:autoSpaceDN w:val="0"/>
        <w:adjustRightInd w:val="0"/>
        <w:jc w:val="center"/>
        <w:rPr>
          <w:rFonts w:ascii="Arial" w:hAnsi="Arial" w:cs="Arial"/>
          <w:iCs/>
          <w:caps/>
          <w:sz w:val="20"/>
          <w:szCs w:val="20"/>
          <w:lang w:val="en-US"/>
        </w:rPr>
      </w:pPr>
      <w:r w:rsidRPr="00AD3984">
        <w:rPr>
          <w:rFonts w:ascii="Arial" w:hAnsi="Arial" w:cs="Arial"/>
          <w:b/>
          <w:iCs/>
          <w:caps/>
          <w:sz w:val="20"/>
          <w:szCs w:val="20"/>
        </w:rPr>
        <w:t>Материали и методи</w:t>
      </w:r>
    </w:p>
    <w:p w:rsidR="00754199" w:rsidRDefault="00754199" w:rsidP="00754199">
      <w:pPr>
        <w:autoSpaceDE w:val="0"/>
        <w:autoSpaceDN w:val="0"/>
        <w:adjustRightInd w:val="0"/>
        <w:ind w:firstLine="567"/>
        <w:jc w:val="both"/>
        <w:rPr>
          <w:rFonts w:ascii="Arial" w:hAnsi="Arial" w:cs="Arial"/>
          <w:sz w:val="20"/>
          <w:szCs w:val="20"/>
        </w:rPr>
      </w:pPr>
      <w:r>
        <w:rPr>
          <w:rFonts w:ascii="Arial" w:hAnsi="Arial" w:cs="Arial"/>
          <w:sz w:val="20"/>
          <w:szCs w:val="20"/>
        </w:rPr>
        <w:t>Област Стара Загора</w:t>
      </w:r>
      <w:r w:rsidRPr="00005F24">
        <w:rPr>
          <w:rFonts w:ascii="Arial" w:hAnsi="Arial" w:cs="Arial"/>
          <w:sz w:val="20"/>
          <w:szCs w:val="20"/>
        </w:rPr>
        <w:t xml:space="preserve"> е на второ място след София по брутен вътрешен продукт на човек от населението, след като изпреварва Варн</w:t>
      </w:r>
      <w:r>
        <w:rPr>
          <w:rFonts w:ascii="Arial" w:hAnsi="Arial" w:cs="Arial"/>
          <w:sz w:val="20"/>
          <w:szCs w:val="20"/>
        </w:rPr>
        <w:t>а в икономическото си развитие</w:t>
      </w:r>
      <w:r w:rsidRPr="00005F24">
        <w:rPr>
          <w:rFonts w:ascii="Arial" w:hAnsi="Arial" w:cs="Arial"/>
          <w:sz w:val="20"/>
          <w:szCs w:val="20"/>
        </w:rPr>
        <w:t>.</w:t>
      </w:r>
      <w:r>
        <w:rPr>
          <w:rFonts w:ascii="Arial" w:hAnsi="Arial" w:cs="Arial"/>
          <w:sz w:val="20"/>
          <w:szCs w:val="20"/>
        </w:rPr>
        <w:t xml:space="preserve"> Същевременно областта отчита по-високи стойности в сравнение със средните за страната по всички макроико</w:t>
      </w:r>
      <w:r>
        <w:rPr>
          <w:rFonts w:ascii="Arial" w:hAnsi="Arial" w:cs="Arial"/>
          <w:sz w:val="20"/>
          <w:szCs w:val="20"/>
          <w:lang w:val="bg-BG"/>
        </w:rPr>
        <w:t>-</w:t>
      </w:r>
      <w:r>
        <w:rPr>
          <w:rFonts w:ascii="Arial" w:hAnsi="Arial" w:cs="Arial"/>
          <w:sz w:val="20"/>
          <w:szCs w:val="20"/>
        </w:rPr>
        <w:t>номически показатели за 2012</w:t>
      </w:r>
      <w:r>
        <w:rPr>
          <w:rFonts w:ascii="Arial" w:hAnsi="Arial" w:cs="Arial"/>
          <w:sz w:val="20"/>
          <w:szCs w:val="20"/>
          <w:lang w:val="bg-BG"/>
        </w:rPr>
        <w:t xml:space="preserve"> </w:t>
      </w:r>
      <w:r>
        <w:rPr>
          <w:rFonts w:ascii="Arial" w:hAnsi="Arial" w:cs="Arial"/>
          <w:sz w:val="20"/>
          <w:szCs w:val="20"/>
        </w:rPr>
        <w:t xml:space="preserve">г. </w:t>
      </w:r>
      <w:r>
        <w:rPr>
          <w:rFonts w:ascii="Arial" w:hAnsi="Arial" w:cs="Arial"/>
          <w:sz w:val="20"/>
          <w:szCs w:val="20"/>
          <w:lang w:val="bg-BG"/>
        </w:rPr>
        <w:t>(</w:t>
      </w:r>
      <w:r>
        <w:rPr>
          <w:rFonts w:ascii="Arial" w:hAnsi="Arial" w:cs="Arial"/>
          <w:sz w:val="20"/>
          <w:szCs w:val="20"/>
        </w:rPr>
        <w:t>табл. 2</w:t>
      </w:r>
      <w:r>
        <w:rPr>
          <w:rFonts w:ascii="Arial" w:hAnsi="Arial" w:cs="Arial"/>
          <w:sz w:val="20"/>
          <w:szCs w:val="20"/>
          <w:lang w:val="bg-BG"/>
        </w:rPr>
        <w:t>)</w:t>
      </w:r>
      <w:r>
        <w:rPr>
          <w:rFonts w:ascii="Arial" w:hAnsi="Arial" w:cs="Arial"/>
          <w:sz w:val="20"/>
          <w:szCs w:val="20"/>
        </w:rPr>
        <w:t>. Тези резултати я превръщат във водеща в икономическо отношение административна област в рамките на Югоизточния регион за планиране.</w:t>
      </w:r>
    </w:p>
    <w:p w:rsidR="00754199" w:rsidRDefault="00754199" w:rsidP="00FE2DE9">
      <w:pPr>
        <w:autoSpaceDE w:val="0"/>
        <w:autoSpaceDN w:val="0"/>
        <w:adjustRightInd w:val="0"/>
        <w:jc w:val="center"/>
        <w:rPr>
          <w:rFonts w:ascii="Arial" w:hAnsi="Arial" w:cs="Arial"/>
          <w:iCs/>
          <w:sz w:val="20"/>
          <w:szCs w:val="20"/>
          <w:lang w:val="bg-BG"/>
        </w:rPr>
      </w:pPr>
      <w:r w:rsidRPr="002C297B">
        <w:rPr>
          <w:rFonts w:ascii="Arial" w:hAnsi="Arial" w:cs="Arial"/>
          <w:b/>
          <w:iCs/>
          <w:sz w:val="20"/>
          <w:szCs w:val="20"/>
        </w:rPr>
        <w:lastRenderedPageBreak/>
        <w:t>Таблица 2</w:t>
      </w:r>
      <w:r>
        <w:rPr>
          <w:rFonts w:ascii="Arial" w:hAnsi="Arial" w:cs="Arial"/>
          <w:b/>
          <w:iCs/>
          <w:sz w:val="20"/>
          <w:szCs w:val="20"/>
          <w:lang w:val="bg-BG"/>
        </w:rPr>
        <w:t>.</w:t>
      </w:r>
      <w:r w:rsidRPr="002C297B">
        <w:rPr>
          <w:rFonts w:ascii="Arial" w:hAnsi="Arial" w:cs="Arial"/>
          <w:b/>
          <w:iCs/>
          <w:sz w:val="20"/>
          <w:szCs w:val="20"/>
        </w:rPr>
        <w:t xml:space="preserve"> </w:t>
      </w:r>
      <w:r w:rsidRPr="0021625B">
        <w:rPr>
          <w:rFonts w:ascii="Arial" w:hAnsi="Arial" w:cs="Arial"/>
          <w:iCs/>
          <w:sz w:val="20"/>
          <w:szCs w:val="20"/>
        </w:rPr>
        <w:t>Основни икономически показатели за 2012</w:t>
      </w:r>
      <w:r>
        <w:rPr>
          <w:rFonts w:ascii="Arial" w:hAnsi="Arial" w:cs="Arial"/>
          <w:iCs/>
          <w:sz w:val="20"/>
          <w:szCs w:val="20"/>
          <w:lang w:val="bg-BG"/>
        </w:rPr>
        <w:t xml:space="preserve"> </w:t>
      </w:r>
      <w:r w:rsidRPr="0021625B">
        <w:rPr>
          <w:rFonts w:ascii="Arial" w:hAnsi="Arial" w:cs="Arial"/>
          <w:iCs/>
          <w:sz w:val="20"/>
          <w:szCs w:val="20"/>
        </w:rPr>
        <w:t>г.</w:t>
      </w:r>
    </w:p>
    <w:p w:rsidR="00754199" w:rsidRPr="0021625B" w:rsidRDefault="00754199" w:rsidP="00754199">
      <w:pPr>
        <w:autoSpaceDE w:val="0"/>
        <w:autoSpaceDN w:val="0"/>
        <w:adjustRightInd w:val="0"/>
        <w:jc w:val="center"/>
        <w:rPr>
          <w:rFonts w:ascii="Arial" w:hAnsi="Arial" w:cs="Arial"/>
          <w:iCs/>
          <w:sz w:val="20"/>
          <w:szCs w:val="20"/>
          <w:lang w:val="bg-BG"/>
        </w:rPr>
      </w:pPr>
    </w:p>
    <w:tbl>
      <w:tblPr>
        <w:tblW w:w="4903" w:type="pct"/>
        <w:tblInd w:w="70" w:type="dxa"/>
        <w:tblCellMar>
          <w:left w:w="70" w:type="dxa"/>
          <w:right w:w="70" w:type="dxa"/>
        </w:tblCellMar>
        <w:tblLook w:val="04A0" w:firstRow="1" w:lastRow="0" w:firstColumn="1" w:lastColumn="0" w:noHBand="0" w:noVBand="1"/>
      </w:tblPr>
      <w:tblGrid>
        <w:gridCol w:w="3796"/>
        <w:gridCol w:w="1113"/>
        <w:gridCol w:w="1259"/>
        <w:gridCol w:w="1196"/>
      </w:tblGrid>
      <w:tr w:rsidR="00754199" w:rsidRPr="0021625B" w:rsidTr="00EF03E1">
        <w:trPr>
          <w:trHeight w:val="570"/>
        </w:trPr>
        <w:tc>
          <w:tcPr>
            <w:tcW w:w="2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Област Стара Загора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Югоизточен район</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20"/>
                <w:szCs w:val="20"/>
                <w:lang w:eastAsia="bg-BG"/>
              </w:rPr>
            </w:pPr>
            <w:r>
              <w:rPr>
                <w:rFonts w:ascii="Arial" w:hAnsi="Arial" w:cs="Arial"/>
                <w:color w:val="000000"/>
                <w:sz w:val="20"/>
                <w:szCs w:val="20"/>
                <w:lang w:eastAsia="bg-BG"/>
              </w:rPr>
              <w:t>Р</w:t>
            </w:r>
            <w:r w:rsidRPr="0021625B">
              <w:rPr>
                <w:rFonts w:ascii="Arial" w:hAnsi="Arial" w:cs="Arial"/>
                <w:color w:val="000000"/>
                <w:sz w:val="20"/>
                <w:szCs w:val="20"/>
                <w:lang w:eastAsia="bg-BG"/>
              </w:rPr>
              <w:t>България</w:t>
            </w:r>
          </w:p>
        </w:tc>
      </w:tr>
      <w:tr w:rsidR="00754199" w:rsidRPr="0021625B" w:rsidTr="00EF03E1">
        <w:trPr>
          <w:trHeight w:val="300"/>
        </w:trPr>
        <w:tc>
          <w:tcPr>
            <w:tcW w:w="2586" w:type="pct"/>
            <w:tcBorders>
              <w:top w:val="nil"/>
              <w:left w:val="single" w:sz="4" w:space="0" w:color="auto"/>
              <w:bottom w:val="single" w:sz="4" w:space="0" w:color="auto"/>
              <w:right w:val="single" w:sz="4" w:space="0" w:color="auto"/>
            </w:tcBorders>
            <w:shd w:val="clear" w:color="auto" w:fill="auto"/>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Средна годишна работна заплата на наетите лица по трудово и служебно правоотношение</w:t>
            </w:r>
          </w:p>
        </w:tc>
        <w:tc>
          <w:tcPr>
            <w:tcW w:w="74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0"/>
              <w:jc w:val="center"/>
              <w:rPr>
                <w:rFonts w:ascii="Arial" w:hAnsi="Arial" w:cs="Arial"/>
                <w:b/>
                <w:bCs/>
                <w:color w:val="000000"/>
                <w:sz w:val="20"/>
                <w:szCs w:val="20"/>
                <w:lang w:eastAsia="bg-BG"/>
              </w:rPr>
            </w:pPr>
            <w:r>
              <w:rPr>
                <w:rFonts w:ascii="Arial" w:hAnsi="Arial" w:cs="Arial"/>
                <w:b/>
                <w:bCs/>
                <w:color w:val="000000"/>
                <w:sz w:val="20"/>
                <w:szCs w:val="20"/>
                <w:lang w:eastAsia="bg-BG"/>
              </w:rPr>
              <w:t>9</w:t>
            </w:r>
            <w:r w:rsidRPr="0021625B">
              <w:rPr>
                <w:rFonts w:ascii="Arial" w:hAnsi="Arial" w:cs="Arial"/>
                <w:b/>
                <w:bCs/>
                <w:color w:val="000000"/>
                <w:sz w:val="20"/>
                <w:szCs w:val="20"/>
                <w:lang w:eastAsia="bg-BG"/>
              </w:rPr>
              <w:t>117 лв.</w:t>
            </w:r>
          </w:p>
        </w:tc>
        <w:tc>
          <w:tcPr>
            <w:tcW w:w="84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0"/>
              <w:jc w:val="center"/>
              <w:rPr>
                <w:rFonts w:ascii="Arial" w:hAnsi="Arial" w:cs="Arial"/>
                <w:color w:val="000000"/>
                <w:sz w:val="20"/>
                <w:szCs w:val="20"/>
                <w:lang w:eastAsia="bg-BG"/>
              </w:rPr>
            </w:pPr>
            <w:r>
              <w:rPr>
                <w:rFonts w:ascii="Arial" w:hAnsi="Arial" w:cs="Arial"/>
                <w:color w:val="000000"/>
                <w:sz w:val="20"/>
                <w:szCs w:val="20"/>
                <w:lang w:eastAsia="bg-BG"/>
              </w:rPr>
              <w:t>7</w:t>
            </w:r>
            <w:r w:rsidRPr="0021625B">
              <w:rPr>
                <w:rFonts w:ascii="Arial" w:hAnsi="Arial" w:cs="Arial"/>
                <w:color w:val="000000"/>
                <w:sz w:val="20"/>
                <w:szCs w:val="20"/>
                <w:lang w:eastAsia="bg-BG"/>
              </w:rPr>
              <w:t>990 лв.</w:t>
            </w:r>
          </w:p>
        </w:tc>
        <w:tc>
          <w:tcPr>
            <w:tcW w:w="82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0"/>
              <w:jc w:val="center"/>
              <w:rPr>
                <w:rFonts w:ascii="Arial" w:hAnsi="Arial" w:cs="Arial"/>
                <w:color w:val="000000"/>
                <w:sz w:val="20"/>
                <w:szCs w:val="20"/>
                <w:lang w:eastAsia="bg-BG"/>
              </w:rPr>
            </w:pPr>
            <w:r>
              <w:rPr>
                <w:rFonts w:ascii="Arial" w:hAnsi="Arial" w:cs="Arial"/>
                <w:color w:val="000000"/>
                <w:sz w:val="20"/>
                <w:szCs w:val="20"/>
                <w:lang w:eastAsia="bg-BG"/>
              </w:rPr>
              <w:t>8</w:t>
            </w:r>
            <w:r w:rsidRPr="0021625B">
              <w:rPr>
                <w:rFonts w:ascii="Arial" w:hAnsi="Arial" w:cs="Arial"/>
                <w:color w:val="000000"/>
                <w:sz w:val="20"/>
                <w:szCs w:val="20"/>
                <w:lang w:eastAsia="bg-BG"/>
              </w:rPr>
              <w:t>772 лв.</w:t>
            </w:r>
          </w:p>
        </w:tc>
      </w:tr>
      <w:tr w:rsidR="00754199" w:rsidRPr="0021625B" w:rsidTr="00EF03E1">
        <w:trPr>
          <w:trHeight w:val="300"/>
        </w:trPr>
        <w:tc>
          <w:tcPr>
            <w:tcW w:w="2586" w:type="pct"/>
            <w:tcBorders>
              <w:top w:val="nil"/>
              <w:left w:val="single" w:sz="4" w:space="0" w:color="auto"/>
              <w:bottom w:val="single" w:sz="4" w:space="0" w:color="auto"/>
              <w:right w:val="single" w:sz="4" w:space="0" w:color="auto"/>
            </w:tcBorders>
            <w:shd w:val="clear" w:color="auto" w:fill="auto"/>
            <w:vAlign w:val="bottom"/>
            <w:hideMark/>
          </w:tcPr>
          <w:p w:rsidR="00754199" w:rsidRPr="0021625B" w:rsidRDefault="00754199" w:rsidP="00FE2DE9">
            <w:pPr>
              <w:spacing w:after="20"/>
              <w:jc w:val="center"/>
              <w:rPr>
                <w:rFonts w:ascii="Arial" w:hAnsi="Arial" w:cs="Arial"/>
                <w:color w:val="000000"/>
                <w:sz w:val="20"/>
                <w:szCs w:val="20"/>
                <w:lang w:eastAsia="bg-BG"/>
              </w:rPr>
            </w:pPr>
            <w:r w:rsidRPr="0021625B">
              <w:rPr>
                <w:rFonts w:ascii="Arial" w:hAnsi="Arial" w:cs="Arial"/>
                <w:color w:val="000000"/>
                <w:sz w:val="20"/>
                <w:szCs w:val="20"/>
                <w:lang w:eastAsia="bg-BG"/>
              </w:rPr>
              <w:t>Коефициент на заетост</w:t>
            </w:r>
          </w:p>
        </w:tc>
        <w:tc>
          <w:tcPr>
            <w:tcW w:w="74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b/>
                <w:bCs/>
                <w:color w:val="000000"/>
                <w:sz w:val="20"/>
                <w:szCs w:val="20"/>
                <w:lang w:eastAsia="bg-BG"/>
              </w:rPr>
            </w:pPr>
            <w:r>
              <w:rPr>
                <w:rFonts w:ascii="Arial" w:hAnsi="Arial" w:cs="Arial"/>
                <w:b/>
                <w:bCs/>
                <w:color w:val="000000"/>
                <w:sz w:val="20"/>
                <w:szCs w:val="20"/>
                <w:lang w:eastAsia="bg-BG"/>
              </w:rPr>
              <w:t>62.8</w:t>
            </w:r>
            <w:r w:rsidRPr="0021625B">
              <w:rPr>
                <w:rFonts w:ascii="Arial" w:hAnsi="Arial" w:cs="Arial"/>
                <w:b/>
                <w:bCs/>
                <w:color w:val="000000"/>
                <w:sz w:val="20"/>
                <w:szCs w:val="20"/>
                <w:lang w:eastAsia="bg-BG"/>
              </w:rPr>
              <w:t>%</w:t>
            </w:r>
          </w:p>
        </w:tc>
        <w:tc>
          <w:tcPr>
            <w:tcW w:w="84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58.5</w:t>
            </w:r>
            <w:r w:rsidRPr="0021625B">
              <w:rPr>
                <w:rFonts w:ascii="Arial" w:hAnsi="Arial" w:cs="Arial"/>
                <w:color w:val="000000"/>
                <w:sz w:val="20"/>
                <w:szCs w:val="20"/>
                <w:lang w:eastAsia="bg-BG"/>
              </w:rPr>
              <w:t>%</w:t>
            </w:r>
          </w:p>
        </w:tc>
        <w:tc>
          <w:tcPr>
            <w:tcW w:w="82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58.8</w:t>
            </w:r>
            <w:r w:rsidRPr="0021625B">
              <w:rPr>
                <w:rFonts w:ascii="Arial" w:hAnsi="Arial" w:cs="Arial"/>
                <w:color w:val="000000"/>
                <w:sz w:val="20"/>
                <w:szCs w:val="20"/>
                <w:lang w:eastAsia="bg-BG"/>
              </w:rPr>
              <w:t>%</w:t>
            </w:r>
          </w:p>
        </w:tc>
      </w:tr>
      <w:tr w:rsidR="00754199" w:rsidRPr="0021625B" w:rsidTr="00EF03E1">
        <w:trPr>
          <w:trHeight w:val="300"/>
        </w:trPr>
        <w:tc>
          <w:tcPr>
            <w:tcW w:w="2586" w:type="pct"/>
            <w:tcBorders>
              <w:top w:val="nil"/>
              <w:left w:val="single" w:sz="4" w:space="0" w:color="auto"/>
              <w:bottom w:val="single" w:sz="4" w:space="0" w:color="auto"/>
              <w:right w:val="single" w:sz="4" w:space="0" w:color="auto"/>
            </w:tcBorders>
            <w:shd w:val="clear" w:color="auto" w:fill="auto"/>
            <w:vAlign w:val="bottom"/>
            <w:hideMark/>
          </w:tcPr>
          <w:p w:rsidR="00754199" w:rsidRPr="0021625B" w:rsidRDefault="00754199" w:rsidP="00FE2DE9">
            <w:pPr>
              <w:spacing w:after="20"/>
              <w:jc w:val="center"/>
              <w:rPr>
                <w:rFonts w:ascii="Arial" w:hAnsi="Arial" w:cs="Arial"/>
                <w:color w:val="000000"/>
                <w:sz w:val="20"/>
                <w:szCs w:val="20"/>
                <w:lang w:eastAsia="bg-BG"/>
              </w:rPr>
            </w:pPr>
            <w:r w:rsidRPr="0021625B">
              <w:rPr>
                <w:rFonts w:ascii="Arial" w:hAnsi="Arial" w:cs="Arial"/>
                <w:color w:val="000000"/>
                <w:sz w:val="20"/>
                <w:szCs w:val="20"/>
                <w:lang w:eastAsia="bg-BG"/>
              </w:rPr>
              <w:t>Коефициент на безработица</w:t>
            </w:r>
          </w:p>
        </w:tc>
        <w:tc>
          <w:tcPr>
            <w:tcW w:w="74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b/>
                <w:bCs/>
                <w:color w:val="000000"/>
                <w:sz w:val="20"/>
                <w:szCs w:val="20"/>
                <w:lang w:eastAsia="bg-BG"/>
              </w:rPr>
            </w:pPr>
            <w:r>
              <w:rPr>
                <w:rFonts w:ascii="Arial" w:hAnsi="Arial" w:cs="Arial"/>
                <w:b/>
                <w:bCs/>
                <w:color w:val="000000"/>
                <w:sz w:val="20"/>
                <w:szCs w:val="20"/>
                <w:lang w:eastAsia="bg-BG"/>
              </w:rPr>
              <w:t>7.1</w:t>
            </w:r>
            <w:r w:rsidRPr="0021625B">
              <w:rPr>
                <w:rFonts w:ascii="Arial" w:hAnsi="Arial" w:cs="Arial"/>
                <w:b/>
                <w:bCs/>
                <w:color w:val="000000"/>
                <w:sz w:val="20"/>
                <w:szCs w:val="20"/>
                <w:lang w:eastAsia="bg-BG"/>
              </w:rPr>
              <w:t>%</w:t>
            </w:r>
          </w:p>
        </w:tc>
        <w:tc>
          <w:tcPr>
            <w:tcW w:w="84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12.1</w:t>
            </w:r>
            <w:r w:rsidRPr="0021625B">
              <w:rPr>
                <w:rFonts w:ascii="Arial" w:hAnsi="Arial" w:cs="Arial"/>
                <w:color w:val="000000"/>
                <w:sz w:val="20"/>
                <w:szCs w:val="20"/>
                <w:lang w:eastAsia="bg-BG"/>
              </w:rPr>
              <w:t>%</w:t>
            </w:r>
          </w:p>
        </w:tc>
        <w:tc>
          <w:tcPr>
            <w:tcW w:w="82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12.4</w:t>
            </w:r>
            <w:r w:rsidRPr="0021625B">
              <w:rPr>
                <w:rFonts w:ascii="Arial" w:hAnsi="Arial" w:cs="Arial"/>
                <w:color w:val="000000"/>
                <w:sz w:val="20"/>
                <w:szCs w:val="20"/>
                <w:lang w:eastAsia="bg-BG"/>
              </w:rPr>
              <w:t>%</w:t>
            </w:r>
          </w:p>
        </w:tc>
      </w:tr>
      <w:tr w:rsidR="00754199" w:rsidRPr="0021625B" w:rsidTr="00EF03E1">
        <w:trPr>
          <w:trHeight w:val="300"/>
        </w:trPr>
        <w:tc>
          <w:tcPr>
            <w:tcW w:w="2586" w:type="pct"/>
            <w:tcBorders>
              <w:top w:val="nil"/>
              <w:left w:val="single" w:sz="4" w:space="0" w:color="auto"/>
              <w:bottom w:val="single" w:sz="4" w:space="0" w:color="auto"/>
              <w:right w:val="single" w:sz="4" w:space="0" w:color="auto"/>
            </w:tcBorders>
            <w:shd w:val="clear" w:color="auto" w:fill="auto"/>
            <w:vAlign w:val="bottom"/>
            <w:hideMark/>
          </w:tcPr>
          <w:p w:rsidR="00754199" w:rsidRPr="0021625B" w:rsidRDefault="00754199" w:rsidP="00FE2DE9">
            <w:pPr>
              <w:spacing w:after="20"/>
              <w:jc w:val="center"/>
              <w:rPr>
                <w:rFonts w:ascii="Arial" w:hAnsi="Arial" w:cs="Arial"/>
                <w:color w:val="000000"/>
                <w:sz w:val="20"/>
                <w:szCs w:val="20"/>
                <w:lang w:eastAsia="bg-BG"/>
              </w:rPr>
            </w:pPr>
            <w:r w:rsidRPr="0021625B">
              <w:rPr>
                <w:rFonts w:ascii="Arial" w:hAnsi="Arial" w:cs="Arial"/>
                <w:color w:val="000000"/>
                <w:sz w:val="20"/>
                <w:szCs w:val="20"/>
                <w:lang w:eastAsia="bg-BG"/>
              </w:rPr>
              <w:t>Общ доход на човек от населението</w:t>
            </w:r>
          </w:p>
        </w:tc>
        <w:tc>
          <w:tcPr>
            <w:tcW w:w="74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b/>
                <w:bCs/>
                <w:color w:val="000000"/>
                <w:sz w:val="20"/>
                <w:szCs w:val="20"/>
                <w:lang w:eastAsia="bg-BG"/>
              </w:rPr>
            </w:pPr>
            <w:r>
              <w:rPr>
                <w:rFonts w:ascii="Arial" w:hAnsi="Arial" w:cs="Arial"/>
                <w:b/>
                <w:bCs/>
                <w:color w:val="000000"/>
                <w:sz w:val="20"/>
                <w:szCs w:val="20"/>
                <w:lang w:eastAsia="bg-BG"/>
              </w:rPr>
              <w:t>4</w:t>
            </w:r>
            <w:r w:rsidRPr="0021625B">
              <w:rPr>
                <w:rFonts w:ascii="Arial" w:hAnsi="Arial" w:cs="Arial"/>
                <w:b/>
                <w:bCs/>
                <w:color w:val="000000"/>
                <w:sz w:val="20"/>
                <w:szCs w:val="20"/>
                <w:lang w:eastAsia="bg-BG"/>
              </w:rPr>
              <w:t>677 лв.</w:t>
            </w:r>
          </w:p>
        </w:tc>
        <w:tc>
          <w:tcPr>
            <w:tcW w:w="84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3</w:t>
            </w:r>
            <w:r w:rsidRPr="0021625B">
              <w:rPr>
                <w:rFonts w:ascii="Arial" w:hAnsi="Arial" w:cs="Arial"/>
                <w:color w:val="000000"/>
                <w:sz w:val="20"/>
                <w:szCs w:val="20"/>
                <w:lang w:eastAsia="bg-BG"/>
              </w:rPr>
              <w:t>841 лв.</w:t>
            </w:r>
          </w:p>
        </w:tc>
        <w:tc>
          <w:tcPr>
            <w:tcW w:w="82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4</w:t>
            </w:r>
            <w:r w:rsidRPr="0021625B">
              <w:rPr>
                <w:rFonts w:ascii="Arial" w:hAnsi="Arial" w:cs="Arial"/>
                <w:color w:val="000000"/>
                <w:sz w:val="20"/>
                <w:szCs w:val="20"/>
                <w:lang w:eastAsia="bg-BG"/>
              </w:rPr>
              <w:t>327 лв.</w:t>
            </w:r>
          </w:p>
        </w:tc>
      </w:tr>
      <w:tr w:rsidR="00754199" w:rsidRPr="0021625B" w:rsidTr="00EF03E1">
        <w:trPr>
          <w:trHeight w:val="300"/>
        </w:trPr>
        <w:tc>
          <w:tcPr>
            <w:tcW w:w="2586" w:type="pct"/>
            <w:tcBorders>
              <w:top w:val="nil"/>
              <w:left w:val="single" w:sz="4" w:space="0" w:color="auto"/>
              <w:bottom w:val="single" w:sz="4" w:space="0" w:color="auto"/>
              <w:right w:val="single" w:sz="4" w:space="0" w:color="auto"/>
            </w:tcBorders>
            <w:shd w:val="clear" w:color="auto" w:fill="auto"/>
            <w:vAlign w:val="bottom"/>
            <w:hideMark/>
          </w:tcPr>
          <w:p w:rsidR="00754199" w:rsidRPr="0021625B" w:rsidRDefault="00754199" w:rsidP="00FE2DE9">
            <w:pPr>
              <w:spacing w:after="20"/>
              <w:jc w:val="center"/>
              <w:rPr>
                <w:rFonts w:ascii="Arial" w:hAnsi="Arial" w:cs="Arial"/>
                <w:color w:val="000000"/>
                <w:sz w:val="20"/>
                <w:szCs w:val="20"/>
                <w:lang w:eastAsia="bg-BG"/>
              </w:rPr>
            </w:pPr>
            <w:r w:rsidRPr="0021625B">
              <w:rPr>
                <w:rFonts w:ascii="Arial" w:hAnsi="Arial" w:cs="Arial"/>
                <w:color w:val="000000"/>
                <w:sz w:val="20"/>
                <w:szCs w:val="20"/>
                <w:lang w:eastAsia="bg-BG"/>
              </w:rPr>
              <w:t>БВП на човек от населението</w:t>
            </w:r>
          </w:p>
        </w:tc>
        <w:tc>
          <w:tcPr>
            <w:tcW w:w="74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b/>
                <w:bCs/>
                <w:color w:val="000000"/>
                <w:sz w:val="20"/>
                <w:szCs w:val="20"/>
                <w:lang w:eastAsia="bg-BG"/>
              </w:rPr>
            </w:pPr>
            <w:r w:rsidRPr="0021625B">
              <w:rPr>
                <w:rFonts w:ascii="Arial" w:hAnsi="Arial" w:cs="Arial"/>
                <w:b/>
                <w:bCs/>
                <w:color w:val="000000"/>
                <w:sz w:val="20"/>
                <w:szCs w:val="20"/>
                <w:lang w:eastAsia="bg-BG"/>
              </w:rPr>
              <w:t>11 700 лв.</w:t>
            </w:r>
          </w:p>
        </w:tc>
        <w:tc>
          <w:tcPr>
            <w:tcW w:w="84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Pr>
                <w:rFonts w:ascii="Arial" w:hAnsi="Arial" w:cs="Arial"/>
                <w:color w:val="000000"/>
                <w:sz w:val="20"/>
                <w:szCs w:val="20"/>
                <w:lang w:eastAsia="bg-BG"/>
              </w:rPr>
              <w:t>9</w:t>
            </w:r>
            <w:r w:rsidRPr="0021625B">
              <w:rPr>
                <w:rFonts w:ascii="Arial" w:hAnsi="Arial" w:cs="Arial"/>
                <w:color w:val="000000"/>
                <w:sz w:val="20"/>
                <w:szCs w:val="20"/>
                <w:lang w:eastAsia="bg-BG"/>
              </w:rPr>
              <w:t>140 лв.</w:t>
            </w:r>
          </w:p>
        </w:tc>
        <w:tc>
          <w:tcPr>
            <w:tcW w:w="820"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20"/>
              <w:jc w:val="center"/>
              <w:rPr>
                <w:rFonts w:ascii="Arial" w:hAnsi="Arial" w:cs="Arial"/>
                <w:color w:val="000000"/>
                <w:sz w:val="20"/>
                <w:szCs w:val="20"/>
                <w:lang w:eastAsia="bg-BG"/>
              </w:rPr>
            </w:pPr>
            <w:r w:rsidRPr="0021625B">
              <w:rPr>
                <w:rFonts w:ascii="Arial" w:hAnsi="Arial" w:cs="Arial"/>
                <w:color w:val="000000"/>
                <w:sz w:val="20"/>
                <w:szCs w:val="20"/>
                <w:lang w:eastAsia="bg-BG"/>
              </w:rPr>
              <w:t>10 956 лв.</w:t>
            </w:r>
          </w:p>
        </w:tc>
      </w:tr>
    </w:tbl>
    <w:p w:rsidR="00754199" w:rsidRDefault="00754199" w:rsidP="00754199">
      <w:pPr>
        <w:autoSpaceDE w:val="0"/>
        <w:autoSpaceDN w:val="0"/>
        <w:adjustRightInd w:val="0"/>
        <w:jc w:val="center"/>
        <w:rPr>
          <w:rFonts w:ascii="Arial" w:hAnsi="Arial" w:cs="Arial"/>
          <w:iCs/>
          <w:sz w:val="20"/>
          <w:szCs w:val="20"/>
          <w:lang w:val="bg-BG"/>
        </w:rPr>
      </w:pPr>
    </w:p>
    <w:p w:rsidR="00754199" w:rsidRPr="00CF74F7" w:rsidRDefault="00754199" w:rsidP="00754199">
      <w:pPr>
        <w:autoSpaceDE w:val="0"/>
        <w:autoSpaceDN w:val="0"/>
        <w:adjustRightInd w:val="0"/>
        <w:rPr>
          <w:rFonts w:ascii="Arial" w:hAnsi="Arial" w:cs="Arial"/>
          <w:i/>
          <w:iCs/>
          <w:sz w:val="20"/>
          <w:szCs w:val="20"/>
        </w:rPr>
      </w:pPr>
      <w:r>
        <w:rPr>
          <w:rFonts w:ascii="Arial" w:hAnsi="Arial" w:cs="Arial"/>
          <w:i/>
          <w:iCs/>
          <w:sz w:val="20"/>
          <w:szCs w:val="20"/>
          <w:lang w:val="bg-BG"/>
        </w:rPr>
        <w:t xml:space="preserve">     </w:t>
      </w:r>
      <w:r w:rsidRPr="00CF74F7">
        <w:rPr>
          <w:rFonts w:ascii="Arial" w:hAnsi="Arial" w:cs="Arial"/>
          <w:i/>
          <w:iCs/>
          <w:sz w:val="20"/>
          <w:szCs w:val="20"/>
        </w:rPr>
        <w:t>Източник: НСИ</w:t>
      </w:r>
    </w:p>
    <w:p w:rsidR="00754199" w:rsidRPr="00EB1838" w:rsidRDefault="00754199" w:rsidP="00754199">
      <w:pPr>
        <w:autoSpaceDE w:val="0"/>
        <w:autoSpaceDN w:val="0"/>
        <w:adjustRightInd w:val="0"/>
        <w:jc w:val="both"/>
        <w:rPr>
          <w:rFonts w:ascii="Arial" w:hAnsi="Arial" w:cs="Arial"/>
          <w:iCs/>
          <w:sz w:val="20"/>
          <w:szCs w:val="20"/>
        </w:rPr>
      </w:pPr>
    </w:p>
    <w:p w:rsidR="00754199" w:rsidRPr="00377F3D" w:rsidRDefault="00754199" w:rsidP="00754199">
      <w:pPr>
        <w:ind w:firstLine="567"/>
        <w:jc w:val="both"/>
        <w:rPr>
          <w:rFonts w:ascii="Arial" w:hAnsi="Arial" w:cs="Arial"/>
          <w:sz w:val="20"/>
          <w:szCs w:val="20"/>
        </w:rPr>
      </w:pPr>
      <w:r w:rsidRPr="00377F3D">
        <w:rPr>
          <w:rFonts w:ascii="Arial" w:hAnsi="Arial" w:cs="Arial"/>
          <w:sz w:val="20"/>
          <w:szCs w:val="20"/>
        </w:rPr>
        <w:t xml:space="preserve">При анализа се използва група от показатели, които се изчисляват върху обща база, което дава възможност да се сравняват различни по население общини. Това са показателите нетни приходи от продажби на 1 човек </w:t>
      </w:r>
      <w:r>
        <w:rPr>
          <w:rFonts w:ascii="Arial" w:hAnsi="Arial" w:cs="Arial"/>
          <w:sz w:val="20"/>
          <w:szCs w:val="20"/>
        </w:rPr>
        <w:t>от населението; брой фирми на 1</w:t>
      </w:r>
      <w:r w:rsidRPr="00377F3D">
        <w:rPr>
          <w:rFonts w:ascii="Arial" w:hAnsi="Arial" w:cs="Arial"/>
          <w:sz w:val="20"/>
          <w:szCs w:val="20"/>
        </w:rPr>
        <w:t>000 души население; разходи за придобити ДМА на 1 човек от населението; парична стойност на общински проекти на 1 човек от населението.</w:t>
      </w:r>
    </w:p>
    <w:p w:rsidR="00754199" w:rsidRPr="00C3735E" w:rsidRDefault="00754199" w:rsidP="00754199">
      <w:pPr>
        <w:autoSpaceDE w:val="0"/>
        <w:autoSpaceDN w:val="0"/>
        <w:adjustRightInd w:val="0"/>
        <w:ind w:firstLine="567"/>
        <w:jc w:val="both"/>
        <w:rPr>
          <w:rFonts w:ascii="Arial" w:hAnsi="Arial" w:cs="Arial"/>
          <w:iCs/>
          <w:sz w:val="20"/>
          <w:szCs w:val="20"/>
          <w:lang w:val="bg-BG"/>
        </w:rPr>
      </w:pPr>
      <w:r w:rsidRPr="00377F3D">
        <w:rPr>
          <w:rFonts w:ascii="Arial" w:hAnsi="Arial" w:cs="Arial"/>
          <w:iCs/>
          <w:sz w:val="20"/>
          <w:szCs w:val="20"/>
        </w:rPr>
        <w:t>За анализ на данните се използват сравнителен анализ и метод</w:t>
      </w:r>
      <w:r>
        <w:rPr>
          <w:rFonts w:ascii="Arial" w:hAnsi="Arial" w:cs="Arial"/>
          <w:iCs/>
          <w:sz w:val="20"/>
          <w:szCs w:val="20"/>
          <w:lang w:val="bg-BG"/>
        </w:rPr>
        <w:t>ът</w:t>
      </w:r>
      <w:r w:rsidRPr="00377F3D">
        <w:rPr>
          <w:rFonts w:ascii="Arial" w:hAnsi="Arial" w:cs="Arial"/>
          <w:iCs/>
          <w:sz w:val="20"/>
          <w:szCs w:val="20"/>
        </w:rPr>
        <w:t xml:space="preserve"> АНР </w:t>
      </w:r>
      <w:r>
        <w:rPr>
          <w:rFonts w:ascii="Arial" w:hAnsi="Arial" w:cs="Arial"/>
          <w:iCs/>
          <w:sz w:val="20"/>
          <w:szCs w:val="20"/>
          <w:lang w:val="bg-BG"/>
        </w:rPr>
        <w:t>(</w:t>
      </w:r>
      <w:r>
        <w:rPr>
          <w:rFonts w:ascii="Arial" w:hAnsi="Arial" w:cs="Arial"/>
          <w:iCs/>
          <w:sz w:val="20"/>
          <w:szCs w:val="20"/>
          <w:lang w:val="en-US"/>
        </w:rPr>
        <w:t>Analytics Herarchy P</w:t>
      </w:r>
      <w:r w:rsidRPr="00377F3D">
        <w:rPr>
          <w:rFonts w:ascii="Arial" w:hAnsi="Arial" w:cs="Arial"/>
          <w:iCs/>
          <w:sz w:val="20"/>
          <w:szCs w:val="20"/>
          <w:lang w:val="en-US"/>
        </w:rPr>
        <w:t>rocess</w:t>
      </w:r>
      <w:r>
        <w:rPr>
          <w:rFonts w:ascii="Arial" w:hAnsi="Arial" w:cs="Arial"/>
          <w:iCs/>
          <w:sz w:val="20"/>
          <w:szCs w:val="20"/>
          <w:lang w:val="bg-BG"/>
        </w:rPr>
        <w:t>)</w:t>
      </w:r>
      <w:r w:rsidRPr="00377F3D">
        <w:rPr>
          <w:rFonts w:ascii="Arial" w:hAnsi="Arial" w:cs="Arial"/>
          <w:iCs/>
          <w:sz w:val="20"/>
          <w:szCs w:val="20"/>
        </w:rPr>
        <w:t>, чрез който се идентифицират направленията</w:t>
      </w:r>
      <w:r>
        <w:rPr>
          <w:rFonts w:ascii="Arial" w:hAnsi="Arial" w:cs="Arial"/>
          <w:iCs/>
          <w:sz w:val="20"/>
          <w:szCs w:val="20"/>
          <w:lang w:val="bg-BG"/>
        </w:rPr>
        <w:t>,</w:t>
      </w:r>
      <w:r>
        <w:rPr>
          <w:rFonts w:ascii="Arial" w:hAnsi="Arial" w:cs="Arial"/>
          <w:iCs/>
          <w:sz w:val="20"/>
          <w:szCs w:val="20"/>
        </w:rPr>
        <w:t xml:space="preserve"> в ко</w:t>
      </w:r>
      <w:r>
        <w:rPr>
          <w:rFonts w:ascii="Arial" w:hAnsi="Arial" w:cs="Arial"/>
          <w:iCs/>
          <w:sz w:val="20"/>
          <w:szCs w:val="20"/>
          <w:lang w:val="bg-BG"/>
        </w:rPr>
        <w:t>и</w:t>
      </w:r>
      <w:r w:rsidRPr="00377F3D">
        <w:rPr>
          <w:rFonts w:ascii="Arial" w:hAnsi="Arial" w:cs="Arial"/>
          <w:iCs/>
          <w:sz w:val="20"/>
          <w:szCs w:val="20"/>
        </w:rPr>
        <w:t>то всяка община има предимства и се определя рейтинг</w:t>
      </w:r>
      <w:r>
        <w:rPr>
          <w:rFonts w:ascii="Arial" w:hAnsi="Arial" w:cs="Arial"/>
          <w:iCs/>
          <w:sz w:val="20"/>
          <w:szCs w:val="20"/>
          <w:lang w:val="bg-BG"/>
        </w:rPr>
        <w:t>ът</w:t>
      </w:r>
      <w:r w:rsidRPr="00377F3D">
        <w:rPr>
          <w:rFonts w:ascii="Arial" w:hAnsi="Arial" w:cs="Arial"/>
          <w:iCs/>
          <w:sz w:val="20"/>
          <w:szCs w:val="20"/>
        </w:rPr>
        <w:t xml:space="preserve"> на общините от областта</w:t>
      </w:r>
      <w:r>
        <w:rPr>
          <w:rFonts w:ascii="Arial" w:hAnsi="Arial" w:cs="Arial"/>
          <w:iCs/>
          <w:sz w:val="20"/>
          <w:szCs w:val="20"/>
        </w:rPr>
        <w:t xml:space="preserve"> </w:t>
      </w:r>
      <w:r w:rsidRPr="007361C7">
        <w:rPr>
          <w:rFonts w:ascii="Arial" w:hAnsi="Arial" w:cs="Arial"/>
          <w:iCs/>
          <w:sz w:val="20"/>
          <w:szCs w:val="20"/>
        </w:rPr>
        <w:t>(</w:t>
      </w:r>
      <w:r w:rsidRPr="007361C7">
        <w:rPr>
          <w:rFonts w:ascii="Arial" w:hAnsi="Arial" w:cs="Arial"/>
          <w:sz w:val="20"/>
          <w:szCs w:val="20"/>
        </w:rPr>
        <w:t>Forman, Ernest</w:t>
      </w:r>
      <w:r w:rsidRPr="007361C7">
        <w:rPr>
          <w:rFonts w:ascii="Arial" w:hAnsi="Arial" w:cs="Arial"/>
          <w:sz w:val="20"/>
          <w:szCs w:val="20"/>
          <w:lang w:val="bg-BG"/>
        </w:rPr>
        <w:t>,</w:t>
      </w:r>
      <w:r w:rsidRPr="007361C7">
        <w:rPr>
          <w:rFonts w:ascii="Arial" w:hAnsi="Arial" w:cs="Arial"/>
          <w:sz w:val="20"/>
          <w:szCs w:val="20"/>
        </w:rPr>
        <w:t xml:space="preserve"> Saul</w:t>
      </w:r>
      <w:r w:rsidRPr="007361C7">
        <w:rPr>
          <w:rFonts w:ascii="Arial" w:hAnsi="Arial" w:cs="Arial"/>
          <w:sz w:val="20"/>
          <w:szCs w:val="20"/>
          <w:lang w:val="bg-BG"/>
        </w:rPr>
        <w:t>,</w:t>
      </w:r>
      <w:r w:rsidRPr="007361C7">
        <w:rPr>
          <w:rFonts w:ascii="Arial" w:hAnsi="Arial" w:cs="Arial"/>
          <w:sz w:val="20"/>
          <w:szCs w:val="20"/>
        </w:rPr>
        <w:t xml:space="preserve"> Gass</w:t>
      </w:r>
      <w:r w:rsidRPr="007361C7">
        <w:rPr>
          <w:rFonts w:ascii="Arial" w:hAnsi="Arial" w:cs="Arial"/>
          <w:sz w:val="20"/>
          <w:szCs w:val="20"/>
          <w:lang w:val="bg-BG"/>
        </w:rPr>
        <w:t>,</w:t>
      </w:r>
      <w:r w:rsidRPr="007361C7">
        <w:rPr>
          <w:rFonts w:ascii="Arial" w:hAnsi="Arial" w:cs="Arial"/>
          <w:sz w:val="20"/>
          <w:szCs w:val="20"/>
        </w:rPr>
        <w:t xml:space="preserve"> 2001</w:t>
      </w:r>
      <w:r>
        <w:rPr>
          <w:rFonts w:ascii="Arial" w:hAnsi="Arial" w:cs="Arial"/>
          <w:iCs/>
          <w:sz w:val="20"/>
          <w:szCs w:val="20"/>
        </w:rPr>
        <w:t>)</w:t>
      </w:r>
      <w:r>
        <w:rPr>
          <w:rFonts w:ascii="Arial" w:hAnsi="Arial" w:cs="Arial"/>
          <w:iCs/>
          <w:sz w:val="20"/>
          <w:szCs w:val="20"/>
          <w:lang w:val="bg-BG"/>
        </w:rPr>
        <w:t xml:space="preserve">; </w:t>
      </w:r>
      <w:r w:rsidRPr="007361C7">
        <w:rPr>
          <w:rFonts w:ascii="Arial" w:hAnsi="Arial" w:cs="Arial"/>
          <w:iCs/>
          <w:sz w:val="20"/>
          <w:szCs w:val="20"/>
        </w:rPr>
        <w:t>(</w:t>
      </w:r>
      <w:r w:rsidRPr="007361C7">
        <w:rPr>
          <w:rFonts w:ascii="Arial" w:hAnsi="Arial" w:cs="Arial"/>
          <w:sz w:val="20"/>
          <w:szCs w:val="20"/>
        </w:rPr>
        <w:t>Hallowell, 2005</w:t>
      </w:r>
      <w:r w:rsidRPr="007361C7">
        <w:rPr>
          <w:rFonts w:ascii="Arial" w:hAnsi="Arial" w:cs="Arial"/>
          <w:iCs/>
          <w:sz w:val="20"/>
          <w:szCs w:val="20"/>
        </w:rPr>
        <w:t>).</w:t>
      </w:r>
      <w:r w:rsidRPr="00377F3D">
        <w:rPr>
          <w:rFonts w:ascii="Arial" w:hAnsi="Arial" w:cs="Arial"/>
          <w:iCs/>
          <w:sz w:val="20"/>
          <w:szCs w:val="20"/>
        </w:rPr>
        <w:t xml:space="preserve"> Рейтингът на общините се формира</w:t>
      </w:r>
      <w:r>
        <w:rPr>
          <w:rFonts w:ascii="Arial" w:hAnsi="Arial" w:cs="Arial"/>
          <w:iCs/>
          <w:sz w:val="20"/>
          <w:szCs w:val="20"/>
        </w:rPr>
        <w:t xml:space="preserve"> въз основа на обобщена оценка з</w:t>
      </w:r>
      <w:r w:rsidRPr="00377F3D">
        <w:rPr>
          <w:rFonts w:ascii="Arial" w:hAnsi="Arial" w:cs="Arial"/>
          <w:iCs/>
          <w:sz w:val="20"/>
          <w:szCs w:val="20"/>
        </w:rPr>
        <w:t>а всяка община</w:t>
      </w:r>
      <w:r>
        <w:rPr>
          <w:rFonts w:ascii="Arial" w:hAnsi="Arial" w:cs="Arial"/>
          <w:iCs/>
          <w:sz w:val="20"/>
          <w:szCs w:val="20"/>
          <w:lang w:val="bg-BG"/>
        </w:rPr>
        <w:t>,</w:t>
      </w:r>
      <w:r w:rsidRPr="00377F3D">
        <w:rPr>
          <w:rFonts w:ascii="Arial" w:hAnsi="Arial" w:cs="Arial"/>
          <w:iCs/>
          <w:sz w:val="20"/>
          <w:szCs w:val="20"/>
        </w:rPr>
        <w:t xml:space="preserve"> </w:t>
      </w:r>
      <w:r>
        <w:rPr>
          <w:rFonts w:ascii="Arial" w:hAnsi="Arial" w:cs="Arial"/>
          <w:iCs/>
          <w:sz w:val="20"/>
          <w:szCs w:val="20"/>
        </w:rPr>
        <w:t xml:space="preserve">изчислена по следната формула. </w:t>
      </w:r>
    </w:p>
    <w:p w:rsidR="00754199" w:rsidRPr="00377F3D" w:rsidRDefault="00754199" w:rsidP="00FE2DE9">
      <w:pPr>
        <w:spacing w:before="240" w:after="240"/>
        <w:jc w:val="center"/>
        <w:rPr>
          <w:rFonts w:ascii="Arial" w:hAnsi="Arial" w:cs="Arial"/>
          <w:sz w:val="20"/>
          <w:szCs w:val="20"/>
        </w:rPr>
      </w:pPr>
      <w:r w:rsidRPr="00377F3D">
        <w:rPr>
          <w:rFonts w:ascii="Arial" w:hAnsi="Arial" w:cs="Arial"/>
          <w:position w:val="-28"/>
          <w:sz w:val="20"/>
          <w:szCs w:val="2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pt" o:ole="">
            <v:imagedata r:id="rId12" o:title=""/>
          </v:shape>
          <o:OLEObject Type="Embed" ProgID="Equation.3" ShapeID="_x0000_i1025" DrawAspect="Content" ObjectID="_1654929886" r:id="rId13"/>
        </w:object>
      </w:r>
    </w:p>
    <w:p w:rsidR="00754199" w:rsidRPr="00377F3D" w:rsidRDefault="00754199" w:rsidP="00754199">
      <w:pPr>
        <w:jc w:val="both"/>
        <w:rPr>
          <w:rFonts w:ascii="Arial" w:hAnsi="Arial" w:cs="Arial"/>
          <w:sz w:val="20"/>
          <w:szCs w:val="20"/>
        </w:rPr>
      </w:pPr>
      <w:r w:rsidRPr="00377F3D">
        <w:rPr>
          <w:rFonts w:ascii="Arial" w:hAnsi="Arial" w:cs="Arial"/>
          <w:sz w:val="20"/>
          <w:szCs w:val="20"/>
        </w:rPr>
        <w:t xml:space="preserve">където: Аj </w:t>
      </w:r>
      <w:r>
        <w:rPr>
          <w:rFonts w:ascii="Arial" w:hAnsi="Arial" w:cs="Arial"/>
          <w:sz w:val="20"/>
          <w:szCs w:val="20"/>
          <w:lang w:val="bg-BG"/>
        </w:rPr>
        <w:t>е</w:t>
      </w:r>
      <w:r w:rsidRPr="00377F3D">
        <w:rPr>
          <w:rFonts w:ascii="Arial" w:hAnsi="Arial" w:cs="Arial"/>
          <w:sz w:val="20"/>
          <w:szCs w:val="20"/>
        </w:rPr>
        <w:t xml:space="preserve"> обобщена</w:t>
      </w:r>
      <w:r>
        <w:rPr>
          <w:rFonts w:ascii="Arial" w:hAnsi="Arial" w:cs="Arial"/>
          <w:sz w:val="20"/>
          <w:szCs w:val="20"/>
          <w:lang w:val="bg-BG"/>
        </w:rPr>
        <w:t>та</w:t>
      </w:r>
      <w:r w:rsidRPr="00377F3D">
        <w:rPr>
          <w:rFonts w:ascii="Arial" w:hAnsi="Arial" w:cs="Arial"/>
          <w:sz w:val="20"/>
          <w:szCs w:val="20"/>
        </w:rPr>
        <w:t xml:space="preserve"> оценка на община „j”</w:t>
      </w:r>
      <w:r>
        <w:rPr>
          <w:rFonts w:ascii="Arial" w:hAnsi="Arial" w:cs="Arial"/>
          <w:sz w:val="20"/>
          <w:szCs w:val="20"/>
          <w:lang w:val="bg-BG"/>
        </w:rPr>
        <w:t>;</w:t>
      </w:r>
      <w:r w:rsidRPr="00377F3D">
        <w:rPr>
          <w:rFonts w:ascii="Arial" w:hAnsi="Arial" w:cs="Arial"/>
          <w:sz w:val="20"/>
          <w:szCs w:val="20"/>
        </w:rPr>
        <w:t xml:space="preserve"> </w:t>
      </w:r>
    </w:p>
    <w:p w:rsidR="00754199" w:rsidRPr="00CF74F7" w:rsidRDefault="00754199" w:rsidP="00931CCF">
      <w:pPr>
        <w:ind w:left="737"/>
        <w:jc w:val="both"/>
        <w:rPr>
          <w:rFonts w:ascii="Arial" w:hAnsi="Arial" w:cs="Arial"/>
          <w:sz w:val="20"/>
          <w:szCs w:val="20"/>
          <w:lang w:val="bg-BG"/>
        </w:rPr>
      </w:pPr>
      <w:r w:rsidRPr="00377F3D">
        <w:rPr>
          <w:rFonts w:ascii="Arial" w:hAnsi="Arial" w:cs="Arial"/>
          <w:sz w:val="20"/>
          <w:szCs w:val="20"/>
        </w:rPr>
        <w:t>Bij – оценка</w:t>
      </w:r>
      <w:r>
        <w:rPr>
          <w:rFonts w:ascii="Arial" w:hAnsi="Arial" w:cs="Arial"/>
          <w:sz w:val="20"/>
          <w:szCs w:val="20"/>
          <w:lang w:val="bg-BG"/>
        </w:rPr>
        <w:t>та</w:t>
      </w:r>
      <w:r w:rsidRPr="00377F3D">
        <w:rPr>
          <w:rFonts w:ascii="Arial" w:hAnsi="Arial" w:cs="Arial"/>
          <w:sz w:val="20"/>
          <w:szCs w:val="20"/>
        </w:rPr>
        <w:t xml:space="preserve"> на показател „i” за община „j”</w:t>
      </w:r>
      <w:r>
        <w:rPr>
          <w:rFonts w:ascii="Arial" w:hAnsi="Arial" w:cs="Arial"/>
          <w:sz w:val="20"/>
          <w:szCs w:val="20"/>
          <w:lang w:val="bg-BG"/>
        </w:rPr>
        <w:t>;</w:t>
      </w:r>
    </w:p>
    <w:p w:rsidR="00754199" w:rsidRPr="00CF74F7" w:rsidRDefault="00754199" w:rsidP="00931CCF">
      <w:pPr>
        <w:ind w:left="737"/>
        <w:jc w:val="both"/>
        <w:rPr>
          <w:rFonts w:ascii="Arial" w:hAnsi="Arial" w:cs="Arial"/>
          <w:sz w:val="20"/>
          <w:szCs w:val="20"/>
          <w:lang w:val="bg-BG"/>
        </w:rPr>
      </w:pPr>
      <w:r w:rsidRPr="00377F3D">
        <w:rPr>
          <w:rFonts w:ascii="Arial" w:hAnsi="Arial" w:cs="Arial"/>
          <w:sz w:val="20"/>
          <w:szCs w:val="20"/>
          <w:lang w:val="en-US"/>
        </w:rPr>
        <w:t xml:space="preserve">Dij </w:t>
      </w:r>
      <w:r w:rsidRPr="00377F3D">
        <w:rPr>
          <w:rFonts w:ascii="Arial" w:hAnsi="Arial" w:cs="Arial"/>
          <w:sz w:val="20"/>
          <w:szCs w:val="20"/>
        </w:rPr>
        <w:t>– тегловн</w:t>
      </w:r>
      <w:r>
        <w:rPr>
          <w:rFonts w:ascii="Arial" w:hAnsi="Arial" w:cs="Arial"/>
          <w:sz w:val="20"/>
          <w:szCs w:val="20"/>
          <w:lang w:val="bg-BG"/>
        </w:rPr>
        <w:t>ият</w:t>
      </w:r>
      <w:r w:rsidRPr="00377F3D">
        <w:rPr>
          <w:rFonts w:ascii="Arial" w:hAnsi="Arial" w:cs="Arial"/>
          <w:sz w:val="20"/>
          <w:szCs w:val="20"/>
        </w:rPr>
        <w:t xml:space="preserve"> коефициент на показател „i” за община „j</w:t>
      </w:r>
      <w:r>
        <w:rPr>
          <w:rFonts w:ascii="Arial" w:hAnsi="Arial" w:cs="Arial"/>
          <w:sz w:val="20"/>
          <w:szCs w:val="20"/>
          <w:lang w:val="bg-BG"/>
        </w:rPr>
        <w:t>;</w:t>
      </w:r>
    </w:p>
    <w:p w:rsidR="00754199" w:rsidRPr="00CF74F7" w:rsidRDefault="00754199" w:rsidP="00931CCF">
      <w:pPr>
        <w:ind w:left="737"/>
        <w:jc w:val="both"/>
        <w:rPr>
          <w:rFonts w:ascii="Arial" w:hAnsi="Arial" w:cs="Arial"/>
          <w:sz w:val="20"/>
          <w:szCs w:val="20"/>
          <w:lang w:val="bg-BG"/>
        </w:rPr>
      </w:pPr>
      <w:r w:rsidRPr="00377F3D">
        <w:rPr>
          <w:rFonts w:ascii="Arial" w:hAnsi="Arial" w:cs="Arial"/>
          <w:sz w:val="20"/>
          <w:szCs w:val="20"/>
        </w:rPr>
        <w:t>n – бро</w:t>
      </w:r>
      <w:r>
        <w:rPr>
          <w:rFonts w:ascii="Arial" w:hAnsi="Arial" w:cs="Arial"/>
          <w:sz w:val="20"/>
          <w:szCs w:val="20"/>
          <w:lang w:val="bg-BG"/>
        </w:rPr>
        <w:t>ят</w:t>
      </w:r>
      <w:r w:rsidRPr="00377F3D">
        <w:rPr>
          <w:rFonts w:ascii="Arial" w:hAnsi="Arial" w:cs="Arial"/>
          <w:sz w:val="20"/>
          <w:szCs w:val="20"/>
        </w:rPr>
        <w:t xml:space="preserve"> на оценяваните показатели</w:t>
      </w:r>
      <w:r>
        <w:rPr>
          <w:rFonts w:ascii="Arial" w:hAnsi="Arial" w:cs="Arial"/>
          <w:sz w:val="20"/>
          <w:szCs w:val="20"/>
          <w:lang w:val="bg-BG"/>
        </w:rPr>
        <w:t>.</w:t>
      </w:r>
    </w:p>
    <w:p w:rsidR="00754199" w:rsidRPr="0054714C" w:rsidRDefault="00754199" w:rsidP="00754199">
      <w:pPr>
        <w:jc w:val="both"/>
        <w:rPr>
          <w:rFonts w:ascii="Arial" w:hAnsi="Arial" w:cs="Arial"/>
          <w:sz w:val="16"/>
          <w:szCs w:val="16"/>
        </w:rPr>
      </w:pPr>
    </w:p>
    <w:p w:rsidR="00754199" w:rsidRPr="00377F3D" w:rsidRDefault="00754199" w:rsidP="00754199">
      <w:pPr>
        <w:ind w:firstLine="680"/>
        <w:jc w:val="both"/>
        <w:rPr>
          <w:rFonts w:ascii="Arial" w:hAnsi="Arial" w:cs="Arial"/>
          <w:sz w:val="20"/>
          <w:szCs w:val="20"/>
        </w:rPr>
      </w:pPr>
      <w:r w:rsidRPr="00377F3D">
        <w:rPr>
          <w:rFonts w:ascii="Arial" w:hAnsi="Arial" w:cs="Arial"/>
          <w:sz w:val="20"/>
          <w:szCs w:val="20"/>
        </w:rPr>
        <w:t>Тегловният коефициент (</w:t>
      </w:r>
      <w:r w:rsidRPr="00377F3D">
        <w:rPr>
          <w:rFonts w:ascii="Arial" w:hAnsi="Arial" w:cs="Arial"/>
          <w:sz w:val="20"/>
          <w:szCs w:val="20"/>
          <w:lang w:val="en-US"/>
        </w:rPr>
        <w:t>D</w:t>
      </w:r>
      <w:r w:rsidRPr="00377F3D">
        <w:rPr>
          <w:rFonts w:ascii="Arial" w:hAnsi="Arial" w:cs="Arial"/>
          <w:sz w:val="20"/>
          <w:szCs w:val="20"/>
        </w:rPr>
        <w:t>) на всеки показател за конкретната община се определя като отношение между стойността на показателя за съответната община и сумата от стойностите на показателя за всички общини. По този начин се определя относителния</w:t>
      </w:r>
      <w:r>
        <w:rPr>
          <w:rFonts w:ascii="Arial" w:hAnsi="Arial" w:cs="Arial"/>
          <w:sz w:val="20"/>
          <w:szCs w:val="20"/>
          <w:lang w:val="bg-BG"/>
        </w:rPr>
        <w:t>т</w:t>
      </w:r>
      <w:r w:rsidRPr="00377F3D">
        <w:rPr>
          <w:rFonts w:ascii="Arial" w:hAnsi="Arial" w:cs="Arial"/>
          <w:sz w:val="20"/>
          <w:szCs w:val="20"/>
        </w:rPr>
        <w:t xml:space="preserve"> дял на всяка община в изследваното направление в рамките на област Стара Загора.</w:t>
      </w:r>
    </w:p>
    <w:p w:rsidR="00754199" w:rsidRPr="00377F3D" w:rsidRDefault="00754199" w:rsidP="00754199">
      <w:pPr>
        <w:ind w:firstLine="680"/>
        <w:jc w:val="both"/>
        <w:rPr>
          <w:rFonts w:ascii="Arial" w:hAnsi="Arial" w:cs="Arial"/>
          <w:sz w:val="20"/>
          <w:szCs w:val="20"/>
        </w:rPr>
      </w:pPr>
      <w:r w:rsidRPr="00377F3D">
        <w:rPr>
          <w:rFonts w:ascii="Arial" w:hAnsi="Arial" w:cs="Arial"/>
          <w:sz w:val="20"/>
          <w:szCs w:val="20"/>
        </w:rPr>
        <w:t>Оценката на съответния показател (В) за всяка община се изчислява</w:t>
      </w:r>
      <w:r>
        <w:rPr>
          <w:rFonts w:ascii="Arial" w:hAnsi="Arial" w:cs="Arial"/>
          <w:sz w:val="20"/>
          <w:szCs w:val="20"/>
          <w:lang w:val="bg-BG"/>
        </w:rPr>
        <w:t>,</w:t>
      </w:r>
      <w:r w:rsidRPr="00377F3D">
        <w:rPr>
          <w:rFonts w:ascii="Arial" w:hAnsi="Arial" w:cs="Arial"/>
          <w:sz w:val="20"/>
          <w:szCs w:val="20"/>
        </w:rPr>
        <w:t xml:space="preserve"> като стойността на показателя се разделя на средната стойност на </w:t>
      </w:r>
      <w:r w:rsidRPr="00377F3D">
        <w:rPr>
          <w:rFonts w:ascii="Arial" w:hAnsi="Arial" w:cs="Arial"/>
          <w:sz w:val="20"/>
          <w:szCs w:val="20"/>
        </w:rPr>
        <w:lastRenderedPageBreak/>
        <w:t xml:space="preserve">показателя за областта. Чрез тази техника се определя равнището на съответната община спрямо цялата изследвана съвкупност.       </w:t>
      </w:r>
    </w:p>
    <w:p w:rsidR="00FE2DE9" w:rsidRDefault="00FE2DE9" w:rsidP="00754199">
      <w:pPr>
        <w:autoSpaceDE w:val="0"/>
        <w:autoSpaceDN w:val="0"/>
        <w:adjustRightInd w:val="0"/>
        <w:spacing w:before="120"/>
        <w:jc w:val="center"/>
        <w:rPr>
          <w:rFonts w:ascii="Arial" w:hAnsi="Arial" w:cs="Arial"/>
          <w:b/>
          <w:iCs/>
          <w:caps/>
          <w:sz w:val="20"/>
          <w:szCs w:val="20"/>
        </w:rPr>
      </w:pPr>
    </w:p>
    <w:p w:rsidR="00754199" w:rsidRPr="00AD3984" w:rsidRDefault="00754199" w:rsidP="00FE2DE9">
      <w:pPr>
        <w:autoSpaceDE w:val="0"/>
        <w:autoSpaceDN w:val="0"/>
        <w:adjustRightInd w:val="0"/>
        <w:jc w:val="center"/>
        <w:rPr>
          <w:rFonts w:ascii="Arial" w:hAnsi="Arial" w:cs="Arial"/>
          <w:iCs/>
          <w:caps/>
          <w:sz w:val="20"/>
          <w:szCs w:val="20"/>
        </w:rPr>
      </w:pPr>
      <w:r w:rsidRPr="00AD3984">
        <w:rPr>
          <w:rFonts w:ascii="Arial" w:hAnsi="Arial" w:cs="Arial"/>
          <w:b/>
          <w:iCs/>
          <w:caps/>
          <w:sz w:val="20"/>
          <w:szCs w:val="20"/>
        </w:rPr>
        <w:t>Резултати и дискусия</w:t>
      </w:r>
    </w:p>
    <w:p w:rsidR="00754199" w:rsidRPr="00377F3D" w:rsidRDefault="00754199" w:rsidP="00754199">
      <w:pPr>
        <w:ind w:firstLine="680"/>
        <w:jc w:val="both"/>
        <w:rPr>
          <w:rFonts w:ascii="Arial" w:hAnsi="Arial" w:cs="Arial"/>
          <w:sz w:val="20"/>
          <w:szCs w:val="20"/>
        </w:rPr>
      </w:pPr>
      <w:r w:rsidRPr="00377F3D">
        <w:rPr>
          <w:rFonts w:ascii="Arial" w:hAnsi="Arial" w:cs="Arial"/>
          <w:sz w:val="20"/>
          <w:szCs w:val="20"/>
        </w:rPr>
        <w:t>Общините</w:t>
      </w:r>
      <w:r>
        <w:rPr>
          <w:rFonts w:ascii="Arial" w:hAnsi="Arial" w:cs="Arial"/>
          <w:sz w:val="20"/>
          <w:szCs w:val="20"/>
          <w:lang w:val="bg-BG"/>
        </w:rPr>
        <w:t>,</w:t>
      </w:r>
      <w:r w:rsidRPr="00377F3D">
        <w:rPr>
          <w:rFonts w:ascii="Arial" w:hAnsi="Arial" w:cs="Arial"/>
          <w:sz w:val="20"/>
          <w:szCs w:val="20"/>
        </w:rPr>
        <w:t xml:space="preserve"> формиращи дадена административно-териториална област</w:t>
      </w:r>
      <w:r>
        <w:rPr>
          <w:rFonts w:ascii="Arial" w:hAnsi="Arial" w:cs="Arial"/>
          <w:sz w:val="20"/>
          <w:szCs w:val="20"/>
          <w:lang w:val="bg-BG"/>
        </w:rPr>
        <w:t>,</w:t>
      </w:r>
      <w:r w:rsidRPr="00377F3D">
        <w:rPr>
          <w:rFonts w:ascii="Arial" w:hAnsi="Arial" w:cs="Arial"/>
          <w:sz w:val="20"/>
          <w:szCs w:val="20"/>
        </w:rPr>
        <w:t xml:space="preserve"> определят нейния облик, но техния</w:t>
      </w:r>
      <w:r>
        <w:rPr>
          <w:rFonts w:ascii="Arial" w:hAnsi="Arial" w:cs="Arial"/>
          <w:sz w:val="20"/>
          <w:szCs w:val="20"/>
          <w:lang w:val="bg-BG"/>
        </w:rPr>
        <w:t>т</w:t>
      </w:r>
      <w:r w:rsidRPr="00377F3D">
        <w:rPr>
          <w:rFonts w:ascii="Arial" w:hAnsi="Arial" w:cs="Arial"/>
          <w:sz w:val="20"/>
          <w:szCs w:val="20"/>
        </w:rPr>
        <w:t xml:space="preserve"> принос може да бъде различен. Тези различия мо</w:t>
      </w:r>
      <w:r>
        <w:rPr>
          <w:rFonts w:ascii="Arial" w:hAnsi="Arial" w:cs="Arial"/>
          <w:sz w:val="20"/>
          <w:szCs w:val="20"/>
          <w:lang w:val="bg-BG"/>
        </w:rPr>
        <w:t>же</w:t>
      </w:r>
      <w:r w:rsidRPr="00377F3D">
        <w:rPr>
          <w:rFonts w:ascii="Arial" w:hAnsi="Arial" w:cs="Arial"/>
          <w:sz w:val="20"/>
          <w:szCs w:val="20"/>
        </w:rPr>
        <w:t xml:space="preserve"> да бъдат идентифицирани чрез сравн</w:t>
      </w:r>
      <w:r>
        <w:rPr>
          <w:rFonts w:ascii="Arial" w:hAnsi="Arial" w:cs="Arial"/>
          <w:sz w:val="20"/>
          <w:szCs w:val="20"/>
        </w:rPr>
        <w:t>ителен анализ, който да разкрие</w:t>
      </w:r>
      <w:r w:rsidRPr="00377F3D">
        <w:rPr>
          <w:rFonts w:ascii="Arial" w:hAnsi="Arial" w:cs="Arial"/>
          <w:sz w:val="20"/>
          <w:szCs w:val="20"/>
        </w:rPr>
        <w:t xml:space="preserve"> кои общини постигат резултати над средните и мо</w:t>
      </w:r>
      <w:r>
        <w:rPr>
          <w:rFonts w:ascii="Arial" w:hAnsi="Arial" w:cs="Arial"/>
          <w:sz w:val="20"/>
          <w:szCs w:val="20"/>
          <w:lang w:val="bg-BG"/>
        </w:rPr>
        <w:t>же</w:t>
      </w:r>
      <w:r w:rsidRPr="00377F3D">
        <w:rPr>
          <w:rFonts w:ascii="Arial" w:hAnsi="Arial" w:cs="Arial"/>
          <w:sz w:val="20"/>
          <w:szCs w:val="20"/>
        </w:rPr>
        <w:t xml:space="preserve"> да се определят като водещи.</w:t>
      </w:r>
    </w:p>
    <w:p w:rsidR="00754199" w:rsidRDefault="00754199" w:rsidP="00754199">
      <w:pPr>
        <w:ind w:firstLine="680"/>
        <w:jc w:val="both"/>
        <w:rPr>
          <w:rFonts w:ascii="Arial" w:hAnsi="Arial" w:cs="Arial"/>
          <w:sz w:val="20"/>
          <w:szCs w:val="20"/>
          <w:lang w:val="bg-BG"/>
        </w:rPr>
      </w:pPr>
      <w:r w:rsidRPr="00377F3D">
        <w:rPr>
          <w:rFonts w:ascii="Arial" w:hAnsi="Arial" w:cs="Arial"/>
          <w:sz w:val="20"/>
          <w:szCs w:val="20"/>
        </w:rPr>
        <w:t xml:space="preserve">Показателят </w:t>
      </w:r>
      <w:r w:rsidRPr="00C3735E">
        <w:rPr>
          <w:rFonts w:ascii="Arial" w:hAnsi="Arial" w:cs="Arial"/>
          <w:i/>
          <w:sz w:val="20"/>
          <w:szCs w:val="20"/>
        </w:rPr>
        <w:t>нетни приходи от продажби на човек от населението</w:t>
      </w:r>
      <w:r w:rsidRPr="00377F3D">
        <w:rPr>
          <w:rFonts w:ascii="Arial" w:hAnsi="Arial" w:cs="Arial"/>
          <w:sz w:val="20"/>
          <w:szCs w:val="20"/>
        </w:rPr>
        <w:t xml:space="preserve"> отразява генерираните от местната икономика приходи и е критерий за нейното функциониране. В област Стара Загора се наблюдават изключително големи различия по този показател, като разликата между най-високата и най-ниската стойност е над 20 пъти. Всъщност големи разлики има и между 3-те общини с най-високи приходи от продажби, но техните стойности са над средните за областта и като такива се определят като общини с голям икономически потенциал. </w:t>
      </w:r>
    </w:p>
    <w:p w:rsidR="00754199" w:rsidRDefault="00754199" w:rsidP="00754199">
      <w:pPr>
        <w:ind w:firstLine="680"/>
        <w:jc w:val="both"/>
        <w:rPr>
          <w:rFonts w:ascii="Arial" w:hAnsi="Arial" w:cs="Arial"/>
          <w:sz w:val="20"/>
          <w:szCs w:val="20"/>
          <w:lang w:val="en-US"/>
        </w:rPr>
      </w:pPr>
      <w:r w:rsidRPr="00377F3D">
        <w:rPr>
          <w:rFonts w:ascii="Arial" w:hAnsi="Arial" w:cs="Arial"/>
          <w:sz w:val="20"/>
          <w:szCs w:val="20"/>
        </w:rPr>
        <w:t>Водещите позиции на общините Раднево и Гълъбово се обясняват с намиращите се на тяхната територия големи енергийни фирми, кои</w:t>
      </w:r>
      <w:r>
        <w:rPr>
          <w:rFonts w:ascii="Arial" w:hAnsi="Arial" w:cs="Arial"/>
          <w:sz w:val="20"/>
          <w:szCs w:val="20"/>
        </w:rPr>
        <w:t xml:space="preserve">то се оказват основен двигател </w:t>
      </w:r>
      <w:r>
        <w:rPr>
          <w:rFonts w:ascii="Arial" w:hAnsi="Arial" w:cs="Arial"/>
          <w:sz w:val="20"/>
          <w:szCs w:val="20"/>
          <w:lang w:val="bg-BG"/>
        </w:rPr>
        <w:t>н</w:t>
      </w:r>
      <w:r w:rsidRPr="00377F3D">
        <w:rPr>
          <w:rFonts w:ascii="Arial" w:hAnsi="Arial" w:cs="Arial"/>
          <w:sz w:val="20"/>
          <w:szCs w:val="20"/>
        </w:rPr>
        <w:t>а местната икономика. Това</w:t>
      </w:r>
      <w:r>
        <w:rPr>
          <w:rFonts w:ascii="Arial" w:hAnsi="Arial" w:cs="Arial"/>
          <w:sz w:val="20"/>
          <w:szCs w:val="20"/>
          <w:lang w:val="bg-BG"/>
        </w:rPr>
        <w:t>,</w:t>
      </w:r>
      <w:r w:rsidRPr="00377F3D">
        <w:rPr>
          <w:rFonts w:ascii="Arial" w:hAnsi="Arial" w:cs="Arial"/>
          <w:sz w:val="20"/>
          <w:szCs w:val="20"/>
        </w:rPr>
        <w:t xml:space="preserve"> в съчетание с относително малкото население на тези общини</w:t>
      </w:r>
      <w:r>
        <w:rPr>
          <w:rFonts w:ascii="Arial" w:hAnsi="Arial" w:cs="Arial"/>
          <w:sz w:val="20"/>
          <w:szCs w:val="20"/>
          <w:lang w:val="bg-BG"/>
        </w:rPr>
        <w:t>,</w:t>
      </w:r>
      <w:r w:rsidRPr="00377F3D">
        <w:rPr>
          <w:rFonts w:ascii="Arial" w:hAnsi="Arial" w:cs="Arial"/>
          <w:sz w:val="20"/>
          <w:szCs w:val="20"/>
        </w:rPr>
        <w:t xml:space="preserve"> определя високите стойности на </w:t>
      </w:r>
      <w:r>
        <w:rPr>
          <w:rFonts w:ascii="Arial" w:hAnsi="Arial" w:cs="Arial"/>
          <w:sz w:val="20"/>
          <w:szCs w:val="20"/>
          <w:lang w:val="bg-BG"/>
        </w:rPr>
        <w:t xml:space="preserve">този </w:t>
      </w:r>
      <w:r w:rsidRPr="00377F3D">
        <w:rPr>
          <w:rFonts w:ascii="Arial" w:hAnsi="Arial" w:cs="Arial"/>
          <w:sz w:val="20"/>
          <w:szCs w:val="20"/>
        </w:rPr>
        <w:t>показател</w:t>
      </w:r>
      <w:r>
        <w:rPr>
          <w:rFonts w:ascii="Arial" w:hAnsi="Arial" w:cs="Arial"/>
          <w:sz w:val="20"/>
          <w:szCs w:val="20"/>
          <w:lang w:val="bg-BG"/>
        </w:rPr>
        <w:t>.</w:t>
      </w:r>
      <w:r w:rsidRPr="00377F3D">
        <w:rPr>
          <w:rFonts w:ascii="Arial" w:hAnsi="Arial" w:cs="Arial"/>
          <w:sz w:val="20"/>
          <w:szCs w:val="20"/>
        </w:rPr>
        <w:t xml:space="preserve"> Най-големият град, областния</w:t>
      </w:r>
      <w:r>
        <w:rPr>
          <w:rFonts w:ascii="Arial" w:hAnsi="Arial" w:cs="Arial"/>
          <w:sz w:val="20"/>
          <w:szCs w:val="20"/>
          <w:lang w:val="bg-BG"/>
        </w:rPr>
        <w:t>т</w:t>
      </w:r>
      <w:r w:rsidRPr="00377F3D">
        <w:rPr>
          <w:rFonts w:ascii="Arial" w:hAnsi="Arial" w:cs="Arial"/>
          <w:sz w:val="20"/>
          <w:szCs w:val="20"/>
        </w:rPr>
        <w:t xml:space="preserve"> център Стара Загора</w:t>
      </w:r>
      <w:r>
        <w:rPr>
          <w:rFonts w:ascii="Arial" w:hAnsi="Arial" w:cs="Arial"/>
          <w:sz w:val="20"/>
          <w:szCs w:val="20"/>
          <w:lang w:val="bg-BG"/>
        </w:rPr>
        <w:t>,</w:t>
      </w:r>
      <w:r w:rsidRPr="00377F3D">
        <w:rPr>
          <w:rFonts w:ascii="Arial" w:hAnsi="Arial" w:cs="Arial"/>
          <w:sz w:val="20"/>
          <w:szCs w:val="20"/>
        </w:rPr>
        <w:t xml:space="preserve"> формира приходите си от разнообразни икономически дейности, което определя техния балансиран характер. </w:t>
      </w:r>
    </w:p>
    <w:p w:rsidR="00754199" w:rsidRDefault="00AF745A" w:rsidP="00754199">
      <w:pPr>
        <w:spacing w:before="240" w:after="240"/>
        <w:jc w:val="center"/>
        <w:rPr>
          <w:rFonts w:ascii="Cambria" w:hAnsi="Cambria" w:cs="TimesNewRomanPS-ItalicMT"/>
          <w:i/>
          <w:iCs/>
        </w:rPr>
      </w:pPr>
      <w:r>
        <w:rPr>
          <w:rFonts w:ascii="Cambria" w:hAnsi="Cambria" w:cs="TimesNewRomanPS-ItalicMT"/>
          <w:i/>
          <w:noProof/>
          <w:lang w:val="bg-BG" w:eastAsia="bg-BG"/>
        </w:rPr>
        <w:drawing>
          <wp:inline distT="0" distB="0" distL="0" distR="0">
            <wp:extent cx="4022090" cy="2288540"/>
            <wp:effectExtent l="19050" t="0" r="0" b="0"/>
            <wp:docPr id="4"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4"/>
                    <a:srcRect/>
                    <a:stretch>
                      <a:fillRect/>
                    </a:stretch>
                  </pic:blipFill>
                  <pic:spPr bwMode="auto">
                    <a:xfrm>
                      <a:off x="0" y="0"/>
                      <a:ext cx="4022090" cy="2288540"/>
                    </a:xfrm>
                    <a:prstGeom prst="rect">
                      <a:avLst/>
                    </a:prstGeom>
                    <a:noFill/>
                    <a:ln w="9525">
                      <a:noFill/>
                      <a:miter lim="800000"/>
                      <a:headEnd/>
                      <a:tailEnd/>
                    </a:ln>
                  </pic:spPr>
                </pic:pic>
              </a:graphicData>
            </a:graphic>
          </wp:inline>
        </w:drawing>
      </w:r>
    </w:p>
    <w:p w:rsidR="00754199" w:rsidRPr="00CF74F7" w:rsidRDefault="00754199" w:rsidP="00754199">
      <w:pPr>
        <w:autoSpaceDE w:val="0"/>
        <w:autoSpaceDN w:val="0"/>
        <w:adjustRightInd w:val="0"/>
        <w:spacing w:before="40" w:after="360"/>
        <w:jc w:val="center"/>
        <w:rPr>
          <w:rFonts w:ascii="Arial" w:hAnsi="Arial" w:cs="Arial"/>
          <w:b/>
          <w:i/>
          <w:iCs/>
          <w:sz w:val="20"/>
          <w:szCs w:val="20"/>
        </w:rPr>
      </w:pPr>
      <w:r w:rsidRPr="00CF74F7">
        <w:rPr>
          <w:rFonts w:ascii="Arial" w:hAnsi="Arial" w:cs="Arial"/>
          <w:b/>
          <w:i/>
          <w:iCs/>
          <w:sz w:val="20"/>
          <w:szCs w:val="20"/>
        </w:rPr>
        <w:t>Фиг. 1</w:t>
      </w:r>
      <w:r w:rsidRPr="00CF74F7">
        <w:rPr>
          <w:rFonts w:ascii="Arial" w:hAnsi="Arial" w:cs="Arial"/>
          <w:b/>
          <w:i/>
          <w:iCs/>
          <w:sz w:val="20"/>
          <w:szCs w:val="20"/>
          <w:lang w:val="bg-BG"/>
        </w:rPr>
        <w:t>.</w:t>
      </w:r>
      <w:r w:rsidRPr="00CF74F7">
        <w:rPr>
          <w:rFonts w:ascii="Arial" w:hAnsi="Arial" w:cs="Arial"/>
          <w:b/>
          <w:i/>
          <w:iCs/>
          <w:sz w:val="20"/>
          <w:szCs w:val="20"/>
        </w:rPr>
        <w:t xml:space="preserve"> </w:t>
      </w:r>
      <w:r w:rsidRPr="00CF74F7">
        <w:rPr>
          <w:rFonts w:ascii="Arial" w:hAnsi="Arial" w:cs="Arial"/>
          <w:i/>
          <w:iCs/>
          <w:sz w:val="20"/>
          <w:szCs w:val="20"/>
        </w:rPr>
        <w:t>Нетни приходи от продажби на човек от населението по общини</w:t>
      </w:r>
    </w:p>
    <w:p w:rsidR="00754199" w:rsidRDefault="00754199" w:rsidP="00754199">
      <w:pPr>
        <w:ind w:firstLine="680"/>
        <w:jc w:val="both"/>
        <w:rPr>
          <w:rFonts w:ascii="Arial" w:hAnsi="Arial" w:cs="Arial"/>
          <w:sz w:val="20"/>
          <w:szCs w:val="20"/>
          <w:lang w:val="en-US"/>
        </w:rPr>
      </w:pPr>
      <w:r w:rsidRPr="00377F3D">
        <w:rPr>
          <w:rFonts w:ascii="Arial" w:hAnsi="Arial" w:cs="Arial"/>
          <w:sz w:val="20"/>
          <w:szCs w:val="20"/>
        </w:rPr>
        <w:lastRenderedPageBreak/>
        <w:t xml:space="preserve">Прави </w:t>
      </w:r>
      <w:r>
        <w:rPr>
          <w:rFonts w:ascii="Arial" w:hAnsi="Arial" w:cs="Arial"/>
          <w:sz w:val="20"/>
          <w:szCs w:val="20"/>
        </w:rPr>
        <w:t xml:space="preserve">впечатление, че в някои общини </w:t>
      </w:r>
      <w:r>
        <w:rPr>
          <w:rFonts w:ascii="Arial" w:hAnsi="Arial" w:cs="Arial"/>
          <w:sz w:val="20"/>
          <w:szCs w:val="20"/>
          <w:lang w:val="bg-BG"/>
        </w:rPr>
        <w:t>(</w:t>
      </w:r>
      <w:r w:rsidRPr="00377F3D">
        <w:rPr>
          <w:rFonts w:ascii="Arial" w:hAnsi="Arial" w:cs="Arial"/>
          <w:sz w:val="20"/>
          <w:szCs w:val="20"/>
        </w:rPr>
        <w:t>Мъглиж, Николаево</w:t>
      </w:r>
      <w:r>
        <w:rPr>
          <w:rFonts w:ascii="Arial" w:hAnsi="Arial" w:cs="Arial"/>
          <w:sz w:val="20"/>
          <w:szCs w:val="20"/>
          <w:lang w:val="bg-BG"/>
        </w:rPr>
        <w:t>)</w:t>
      </w:r>
      <w:r w:rsidRPr="00377F3D">
        <w:rPr>
          <w:rFonts w:ascii="Arial" w:hAnsi="Arial" w:cs="Arial"/>
          <w:sz w:val="20"/>
          <w:szCs w:val="20"/>
        </w:rPr>
        <w:t xml:space="preserve"> приходите от продажби са изключително ниски като стойност и очевидно в тези общини не се създава </w:t>
      </w:r>
      <w:r>
        <w:rPr>
          <w:rFonts w:ascii="Arial" w:hAnsi="Arial" w:cs="Arial"/>
          <w:sz w:val="20"/>
          <w:szCs w:val="20"/>
        </w:rPr>
        <w:t xml:space="preserve">достатъчно </w:t>
      </w:r>
      <w:r w:rsidRPr="00377F3D">
        <w:rPr>
          <w:rFonts w:ascii="Arial" w:hAnsi="Arial" w:cs="Arial"/>
          <w:sz w:val="20"/>
          <w:szCs w:val="20"/>
        </w:rPr>
        <w:t>икономически продукт, което ги определя като слаби в иконом</w:t>
      </w:r>
      <w:r>
        <w:rPr>
          <w:rFonts w:ascii="Arial" w:hAnsi="Arial" w:cs="Arial"/>
          <w:sz w:val="20"/>
          <w:szCs w:val="20"/>
        </w:rPr>
        <w:t>ическо отношение</w:t>
      </w:r>
      <w:r w:rsidRPr="00377F3D">
        <w:rPr>
          <w:rFonts w:ascii="Arial" w:hAnsi="Arial" w:cs="Arial"/>
          <w:sz w:val="20"/>
          <w:szCs w:val="20"/>
        </w:rPr>
        <w:t xml:space="preserve">.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 xml:space="preserve">Вторият показател за анализ на икономическия потенциал на общините </w:t>
      </w:r>
      <w:r>
        <w:rPr>
          <w:rFonts w:ascii="Arial" w:hAnsi="Arial" w:cs="Arial"/>
          <w:iCs/>
          <w:sz w:val="20"/>
          <w:szCs w:val="20"/>
          <w:lang w:val="bg-BG"/>
        </w:rPr>
        <w:t xml:space="preserve">– </w:t>
      </w:r>
      <w:r w:rsidRPr="003764E0">
        <w:rPr>
          <w:rFonts w:ascii="Arial" w:hAnsi="Arial" w:cs="Arial"/>
          <w:i/>
          <w:iCs/>
          <w:sz w:val="20"/>
          <w:szCs w:val="20"/>
        </w:rPr>
        <w:t>брой фирми на 1000 души население</w:t>
      </w:r>
      <w:r w:rsidRPr="00377F3D">
        <w:rPr>
          <w:rFonts w:ascii="Arial" w:hAnsi="Arial" w:cs="Arial"/>
          <w:iCs/>
          <w:sz w:val="20"/>
          <w:szCs w:val="20"/>
        </w:rPr>
        <w:t xml:space="preserve"> </w:t>
      </w:r>
      <w:r>
        <w:rPr>
          <w:rFonts w:ascii="Arial" w:hAnsi="Arial" w:cs="Arial"/>
          <w:iCs/>
          <w:sz w:val="20"/>
          <w:szCs w:val="20"/>
          <w:lang w:val="bg-BG"/>
        </w:rPr>
        <w:t xml:space="preserve">– </w:t>
      </w:r>
      <w:r w:rsidRPr="00377F3D">
        <w:rPr>
          <w:rFonts w:ascii="Arial" w:hAnsi="Arial" w:cs="Arial"/>
          <w:iCs/>
          <w:sz w:val="20"/>
          <w:szCs w:val="20"/>
        </w:rPr>
        <w:t xml:space="preserve">представя какви са възможностите за бизнес. По-високата стойност на показателя е признак за добра икономическа среда и съответно за по-висока икономическа активност на населението.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По този показател о</w:t>
      </w:r>
      <w:r>
        <w:rPr>
          <w:rFonts w:ascii="Arial" w:hAnsi="Arial" w:cs="Arial"/>
          <w:iCs/>
          <w:sz w:val="20"/>
          <w:szCs w:val="20"/>
        </w:rPr>
        <w:t xml:space="preserve">бщините с най-голямо население </w:t>
      </w:r>
      <w:r>
        <w:rPr>
          <w:rFonts w:ascii="Arial" w:hAnsi="Arial" w:cs="Arial"/>
          <w:iCs/>
          <w:sz w:val="20"/>
          <w:szCs w:val="20"/>
          <w:lang w:val="bg-BG"/>
        </w:rPr>
        <w:t>(</w:t>
      </w:r>
      <w:r w:rsidRPr="00377F3D">
        <w:rPr>
          <w:rFonts w:ascii="Arial" w:hAnsi="Arial" w:cs="Arial"/>
          <w:iCs/>
          <w:sz w:val="20"/>
          <w:szCs w:val="20"/>
        </w:rPr>
        <w:t>Стара Загора и Казанлък</w:t>
      </w:r>
      <w:r>
        <w:rPr>
          <w:rFonts w:ascii="Arial" w:hAnsi="Arial" w:cs="Arial"/>
          <w:iCs/>
          <w:sz w:val="20"/>
          <w:szCs w:val="20"/>
          <w:lang w:val="bg-BG"/>
        </w:rPr>
        <w:t>)</w:t>
      </w:r>
      <w:r w:rsidRPr="00377F3D">
        <w:rPr>
          <w:rFonts w:ascii="Arial" w:hAnsi="Arial" w:cs="Arial"/>
          <w:iCs/>
          <w:sz w:val="20"/>
          <w:szCs w:val="20"/>
        </w:rPr>
        <w:t xml:space="preserve"> са водещи, което ги определя като най-предпочитани локации за правене на бизнес.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Като основен фактор</w:t>
      </w:r>
      <w:r>
        <w:rPr>
          <w:rFonts w:ascii="Arial" w:hAnsi="Arial" w:cs="Arial"/>
          <w:iCs/>
          <w:sz w:val="20"/>
          <w:szCs w:val="20"/>
        </w:rPr>
        <w:t>,</w:t>
      </w:r>
      <w:r w:rsidRPr="00377F3D">
        <w:rPr>
          <w:rFonts w:ascii="Arial" w:hAnsi="Arial" w:cs="Arial"/>
          <w:iCs/>
          <w:sz w:val="20"/>
          <w:szCs w:val="20"/>
        </w:rPr>
        <w:t xml:space="preserve"> стимулиращ този процес</w:t>
      </w:r>
      <w:r>
        <w:rPr>
          <w:rFonts w:ascii="Arial" w:hAnsi="Arial" w:cs="Arial"/>
          <w:iCs/>
          <w:sz w:val="20"/>
          <w:szCs w:val="20"/>
          <w:lang w:val="bg-BG"/>
        </w:rPr>
        <w:t>,</w:t>
      </w:r>
      <w:r w:rsidRPr="00377F3D">
        <w:rPr>
          <w:rFonts w:ascii="Arial" w:hAnsi="Arial" w:cs="Arial"/>
          <w:iCs/>
          <w:sz w:val="20"/>
          <w:szCs w:val="20"/>
        </w:rPr>
        <w:t xml:space="preserve"> се определя именно по-големия</w:t>
      </w:r>
      <w:r>
        <w:rPr>
          <w:rFonts w:ascii="Arial" w:hAnsi="Arial" w:cs="Arial"/>
          <w:iCs/>
          <w:sz w:val="20"/>
          <w:szCs w:val="20"/>
          <w:lang w:val="bg-BG"/>
        </w:rPr>
        <w:t>т</w:t>
      </w:r>
      <w:r w:rsidRPr="00377F3D">
        <w:rPr>
          <w:rFonts w:ascii="Arial" w:hAnsi="Arial" w:cs="Arial"/>
          <w:iCs/>
          <w:sz w:val="20"/>
          <w:szCs w:val="20"/>
        </w:rPr>
        <w:t xml:space="preserve"> брой население, а за Стара Загора важно значение има и това, че е административен център на областта. </w:t>
      </w:r>
    </w:p>
    <w:p w:rsidR="00754199" w:rsidRPr="00377F3D" w:rsidRDefault="00754199" w:rsidP="00754199">
      <w:pPr>
        <w:autoSpaceDE w:val="0"/>
        <w:autoSpaceDN w:val="0"/>
        <w:adjustRightInd w:val="0"/>
        <w:ind w:firstLine="680"/>
        <w:jc w:val="both"/>
        <w:rPr>
          <w:rFonts w:ascii="Arial" w:hAnsi="Arial" w:cs="Arial"/>
          <w:iCs/>
          <w:sz w:val="20"/>
          <w:szCs w:val="20"/>
        </w:rPr>
      </w:pPr>
      <w:r w:rsidRPr="00377F3D">
        <w:rPr>
          <w:rFonts w:ascii="Arial" w:hAnsi="Arial" w:cs="Arial"/>
          <w:iCs/>
          <w:sz w:val="20"/>
          <w:szCs w:val="20"/>
        </w:rPr>
        <w:t>Тук проличава балансирания</w:t>
      </w:r>
      <w:r>
        <w:rPr>
          <w:rFonts w:ascii="Arial" w:hAnsi="Arial" w:cs="Arial"/>
          <w:iCs/>
          <w:sz w:val="20"/>
          <w:szCs w:val="20"/>
          <w:lang w:val="bg-BG"/>
        </w:rPr>
        <w:t>т</w:t>
      </w:r>
      <w:r w:rsidRPr="00377F3D">
        <w:rPr>
          <w:rFonts w:ascii="Arial" w:hAnsi="Arial" w:cs="Arial"/>
          <w:iCs/>
          <w:sz w:val="20"/>
          <w:szCs w:val="20"/>
        </w:rPr>
        <w:t xml:space="preserve"> характер на икономиките в тези общини</w:t>
      </w:r>
      <w:r>
        <w:rPr>
          <w:rFonts w:ascii="Arial" w:hAnsi="Arial" w:cs="Arial"/>
          <w:iCs/>
          <w:sz w:val="20"/>
          <w:szCs w:val="20"/>
          <w:lang w:val="bg-BG"/>
        </w:rPr>
        <w:t>,</w:t>
      </w:r>
      <w:r w:rsidRPr="00377F3D">
        <w:rPr>
          <w:rFonts w:ascii="Arial" w:hAnsi="Arial" w:cs="Arial"/>
          <w:iCs/>
          <w:sz w:val="20"/>
          <w:szCs w:val="20"/>
        </w:rPr>
        <w:t xml:space="preserve"> т.е. повече фирми формират икономическия им потенциал.      </w:t>
      </w:r>
    </w:p>
    <w:p w:rsidR="00754199" w:rsidRPr="00EB1838" w:rsidRDefault="00754199" w:rsidP="00754199">
      <w:pPr>
        <w:autoSpaceDE w:val="0"/>
        <w:autoSpaceDN w:val="0"/>
        <w:adjustRightInd w:val="0"/>
        <w:jc w:val="center"/>
        <w:rPr>
          <w:rFonts w:ascii="Arial" w:hAnsi="Arial" w:cs="Arial"/>
          <w:iCs/>
          <w:sz w:val="20"/>
          <w:szCs w:val="20"/>
        </w:rPr>
      </w:pPr>
    </w:p>
    <w:p w:rsidR="00754199" w:rsidRDefault="00AF745A" w:rsidP="00931CCF">
      <w:pPr>
        <w:autoSpaceDE w:val="0"/>
        <w:autoSpaceDN w:val="0"/>
        <w:adjustRightInd w:val="0"/>
        <w:ind w:left="-57"/>
        <w:jc w:val="center"/>
        <w:rPr>
          <w:rFonts w:ascii="Cambria" w:hAnsi="Cambria" w:cs="TimesNewRomanPS-ItalicMT"/>
          <w:i/>
          <w:iCs/>
        </w:rPr>
      </w:pPr>
      <w:r>
        <w:rPr>
          <w:rFonts w:ascii="Cambria" w:hAnsi="Cambria" w:cs="TimesNewRomanPS-ItalicMT"/>
          <w:i/>
          <w:noProof/>
          <w:lang w:val="bg-BG" w:eastAsia="bg-BG"/>
        </w:rPr>
        <w:drawing>
          <wp:inline distT="0" distB="0" distL="0" distR="0">
            <wp:extent cx="4646295" cy="2415540"/>
            <wp:effectExtent l="19050" t="0" r="1905" b="0"/>
            <wp:docPr id="5"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5"/>
                    <a:srcRect/>
                    <a:stretch>
                      <a:fillRect/>
                    </a:stretch>
                  </pic:blipFill>
                  <pic:spPr bwMode="auto">
                    <a:xfrm>
                      <a:off x="0" y="0"/>
                      <a:ext cx="4646295" cy="2415540"/>
                    </a:xfrm>
                    <a:prstGeom prst="rect">
                      <a:avLst/>
                    </a:prstGeom>
                    <a:noFill/>
                    <a:ln w="9525">
                      <a:noFill/>
                      <a:miter lim="800000"/>
                      <a:headEnd/>
                      <a:tailEnd/>
                    </a:ln>
                  </pic:spPr>
                </pic:pic>
              </a:graphicData>
            </a:graphic>
          </wp:inline>
        </w:drawing>
      </w:r>
    </w:p>
    <w:p w:rsidR="00754199" w:rsidRDefault="00754199" w:rsidP="00754199">
      <w:pPr>
        <w:autoSpaceDE w:val="0"/>
        <w:autoSpaceDN w:val="0"/>
        <w:adjustRightInd w:val="0"/>
        <w:jc w:val="center"/>
        <w:rPr>
          <w:rFonts w:ascii="Arial" w:hAnsi="Arial" w:cs="Arial"/>
          <w:b/>
          <w:iCs/>
          <w:sz w:val="20"/>
          <w:szCs w:val="20"/>
          <w:lang w:val="bg-BG"/>
        </w:rPr>
      </w:pPr>
    </w:p>
    <w:p w:rsidR="00754199" w:rsidRPr="00CF74F7" w:rsidRDefault="00754199" w:rsidP="00754199">
      <w:pPr>
        <w:autoSpaceDE w:val="0"/>
        <w:autoSpaceDN w:val="0"/>
        <w:adjustRightInd w:val="0"/>
        <w:jc w:val="center"/>
        <w:rPr>
          <w:rFonts w:ascii="Arial" w:hAnsi="Arial" w:cs="Arial"/>
          <w:i/>
          <w:iCs/>
          <w:sz w:val="20"/>
          <w:szCs w:val="20"/>
        </w:rPr>
      </w:pPr>
      <w:r w:rsidRPr="00CF74F7">
        <w:rPr>
          <w:rFonts w:ascii="Arial" w:hAnsi="Arial" w:cs="Arial"/>
          <w:b/>
          <w:i/>
          <w:iCs/>
          <w:sz w:val="20"/>
          <w:szCs w:val="20"/>
        </w:rPr>
        <w:t>Фиг. 2</w:t>
      </w:r>
      <w:r w:rsidRPr="00CF74F7">
        <w:rPr>
          <w:rFonts w:ascii="Arial" w:hAnsi="Arial" w:cs="Arial"/>
          <w:b/>
          <w:i/>
          <w:iCs/>
          <w:sz w:val="20"/>
          <w:szCs w:val="20"/>
          <w:lang w:val="bg-BG"/>
        </w:rPr>
        <w:t>.</w:t>
      </w:r>
      <w:r w:rsidRPr="00CF74F7">
        <w:rPr>
          <w:rFonts w:ascii="Arial" w:hAnsi="Arial" w:cs="Arial"/>
          <w:b/>
          <w:i/>
          <w:iCs/>
          <w:sz w:val="20"/>
          <w:szCs w:val="20"/>
        </w:rPr>
        <w:t xml:space="preserve"> </w:t>
      </w:r>
      <w:r>
        <w:rPr>
          <w:rFonts w:ascii="Arial" w:hAnsi="Arial" w:cs="Arial"/>
          <w:i/>
          <w:iCs/>
          <w:sz w:val="20"/>
          <w:szCs w:val="20"/>
        </w:rPr>
        <w:t>Брой фирми на 1</w:t>
      </w:r>
      <w:r w:rsidRPr="00CF74F7">
        <w:rPr>
          <w:rFonts w:ascii="Arial" w:hAnsi="Arial" w:cs="Arial"/>
          <w:i/>
          <w:iCs/>
          <w:sz w:val="20"/>
          <w:szCs w:val="20"/>
        </w:rPr>
        <w:t>000 души от населението по общини</w:t>
      </w:r>
    </w:p>
    <w:p w:rsidR="00754199" w:rsidRDefault="00754199" w:rsidP="00754199">
      <w:pPr>
        <w:autoSpaceDE w:val="0"/>
        <w:autoSpaceDN w:val="0"/>
        <w:adjustRightInd w:val="0"/>
        <w:ind w:firstLine="567"/>
        <w:jc w:val="both"/>
        <w:rPr>
          <w:rFonts w:ascii="Arial" w:hAnsi="Arial" w:cs="Arial"/>
          <w:iCs/>
          <w:sz w:val="20"/>
          <w:szCs w:val="20"/>
          <w:lang w:val="en-US"/>
        </w:rPr>
      </w:pPr>
    </w:p>
    <w:p w:rsidR="00754199" w:rsidRDefault="00754199" w:rsidP="00754199">
      <w:pPr>
        <w:autoSpaceDE w:val="0"/>
        <w:autoSpaceDN w:val="0"/>
        <w:adjustRightInd w:val="0"/>
        <w:ind w:firstLine="680"/>
        <w:jc w:val="both"/>
        <w:rPr>
          <w:rFonts w:ascii="Arial" w:hAnsi="Arial" w:cs="Arial"/>
          <w:iCs/>
          <w:sz w:val="20"/>
          <w:szCs w:val="20"/>
          <w:lang w:val="bg-BG"/>
        </w:rPr>
      </w:pPr>
      <w:r w:rsidRPr="003764E0">
        <w:rPr>
          <w:rFonts w:ascii="Arial" w:hAnsi="Arial" w:cs="Arial"/>
          <w:i/>
          <w:iCs/>
          <w:sz w:val="20"/>
          <w:szCs w:val="20"/>
        </w:rPr>
        <w:t>Разходите за дълготрайни материални активи</w:t>
      </w:r>
      <w:r>
        <w:rPr>
          <w:rFonts w:ascii="Arial" w:hAnsi="Arial" w:cs="Arial"/>
          <w:iCs/>
          <w:sz w:val="20"/>
          <w:szCs w:val="20"/>
        </w:rPr>
        <w:t xml:space="preserve"> </w:t>
      </w:r>
      <w:r>
        <w:rPr>
          <w:rFonts w:ascii="Arial" w:hAnsi="Arial" w:cs="Arial"/>
          <w:iCs/>
          <w:sz w:val="20"/>
          <w:szCs w:val="20"/>
          <w:lang w:val="bg-BG"/>
        </w:rPr>
        <w:t>(</w:t>
      </w:r>
      <w:r w:rsidRPr="00377F3D">
        <w:rPr>
          <w:rFonts w:ascii="Arial" w:hAnsi="Arial" w:cs="Arial"/>
          <w:iCs/>
          <w:sz w:val="20"/>
          <w:szCs w:val="20"/>
        </w:rPr>
        <w:t>ДМА</w:t>
      </w:r>
      <w:r>
        <w:rPr>
          <w:rFonts w:ascii="Arial" w:hAnsi="Arial" w:cs="Arial"/>
          <w:iCs/>
          <w:sz w:val="20"/>
          <w:szCs w:val="20"/>
          <w:lang w:val="bg-BG"/>
        </w:rPr>
        <w:t>)</w:t>
      </w:r>
      <w:r w:rsidRPr="00377F3D">
        <w:rPr>
          <w:rFonts w:ascii="Arial" w:hAnsi="Arial" w:cs="Arial"/>
          <w:iCs/>
          <w:sz w:val="20"/>
          <w:szCs w:val="20"/>
        </w:rPr>
        <w:t xml:space="preserve"> са важен критерий за инвестиционната активност на бизнеса и са база за развитие и разширяване на икономическите дейности. И по този показател се наблюдават много големи различия между отделните общини.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Над 50 пъти е р</w:t>
      </w:r>
      <w:r>
        <w:rPr>
          <w:rFonts w:ascii="Arial" w:hAnsi="Arial" w:cs="Arial"/>
          <w:iCs/>
          <w:sz w:val="20"/>
          <w:szCs w:val="20"/>
        </w:rPr>
        <w:t xml:space="preserve">азликата между водещите общини </w:t>
      </w:r>
      <w:r>
        <w:rPr>
          <w:rFonts w:ascii="Arial" w:hAnsi="Arial" w:cs="Arial"/>
          <w:iCs/>
          <w:sz w:val="20"/>
          <w:szCs w:val="20"/>
          <w:lang w:val="bg-BG"/>
        </w:rPr>
        <w:t>(</w:t>
      </w:r>
      <w:r w:rsidRPr="00377F3D">
        <w:rPr>
          <w:rFonts w:ascii="Arial" w:hAnsi="Arial" w:cs="Arial"/>
          <w:iCs/>
          <w:sz w:val="20"/>
          <w:szCs w:val="20"/>
        </w:rPr>
        <w:t>Гълъбово и Раднево</w:t>
      </w:r>
      <w:r>
        <w:rPr>
          <w:rFonts w:ascii="Arial" w:hAnsi="Arial" w:cs="Arial"/>
          <w:iCs/>
          <w:sz w:val="20"/>
          <w:szCs w:val="20"/>
          <w:lang w:val="bg-BG"/>
        </w:rPr>
        <w:t>)</w:t>
      </w:r>
      <w:r w:rsidRPr="00377F3D">
        <w:rPr>
          <w:rFonts w:ascii="Arial" w:hAnsi="Arial" w:cs="Arial"/>
          <w:iCs/>
          <w:sz w:val="20"/>
          <w:szCs w:val="20"/>
        </w:rPr>
        <w:t xml:space="preserve"> спрямо тези с най-ниска стойност на показателя.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 xml:space="preserve">Обяснението на този факт отново е наличието на големи енергийни фирми, чиято дейност изисква значителни инвестиции.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lastRenderedPageBreak/>
        <w:t xml:space="preserve">Изграждането на икономически потенциал в тези две общини очевидно изцяло зависи от състоянието на енергийния сектор. Също така прави впечатление, че най-малката по население община </w:t>
      </w:r>
      <w:r>
        <w:rPr>
          <w:rFonts w:ascii="Arial" w:hAnsi="Arial" w:cs="Arial"/>
          <w:iCs/>
          <w:sz w:val="20"/>
          <w:szCs w:val="20"/>
          <w:lang w:val="bg-BG"/>
        </w:rPr>
        <w:t xml:space="preserve">– </w:t>
      </w:r>
      <w:r w:rsidRPr="00377F3D">
        <w:rPr>
          <w:rFonts w:ascii="Arial" w:hAnsi="Arial" w:cs="Arial"/>
          <w:iCs/>
          <w:sz w:val="20"/>
          <w:szCs w:val="20"/>
        </w:rPr>
        <w:t>Опан</w:t>
      </w:r>
      <w:r>
        <w:rPr>
          <w:rFonts w:ascii="Arial" w:hAnsi="Arial" w:cs="Arial"/>
          <w:iCs/>
          <w:sz w:val="20"/>
          <w:szCs w:val="20"/>
          <w:lang w:val="bg-BG"/>
        </w:rPr>
        <w:t>,</w:t>
      </w:r>
      <w:r w:rsidRPr="00377F3D">
        <w:rPr>
          <w:rFonts w:ascii="Arial" w:hAnsi="Arial" w:cs="Arial"/>
          <w:iCs/>
          <w:sz w:val="20"/>
          <w:szCs w:val="20"/>
        </w:rPr>
        <w:t xml:space="preserve"> отчита високо ниво на разходи за ДМА, което повишава нейния икономически потенциал. </w:t>
      </w:r>
    </w:p>
    <w:p w:rsidR="00754199" w:rsidRPr="00377F3D" w:rsidRDefault="00754199" w:rsidP="00754199">
      <w:pPr>
        <w:autoSpaceDE w:val="0"/>
        <w:autoSpaceDN w:val="0"/>
        <w:adjustRightInd w:val="0"/>
        <w:ind w:firstLine="680"/>
        <w:jc w:val="both"/>
        <w:rPr>
          <w:rFonts w:ascii="Arial" w:hAnsi="Arial" w:cs="Arial"/>
          <w:iCs/>
          <w:sz w:val="20"/>
          <w:szCs w:val="20"/>
        </w:rPr>
      </w:pPr>
      <w:r w:rsidRPr="00377F3D">
        <w:rPr>
          <w:rFonts w:ascii="Arial" w:hAnsi="Arial" w:cs="Arial"/>
          <w:iCs/>
          <w:sz w:val="20"/>
          <w:szCs w:val="20"/>
        </w:rPr>
        <w:t>При анализа на този показател е удачно да се търси връзка с приходите от продажби. В изследваната област</w:t>
      </w:r>
      <w:r>
        <w:rPr>
          <w:rFonts w:ascii="Arial" w:hAnsi="Arial" w:cs="Arial"/>
          <w:iCs/>
          <w:sz w:val="20"/>
          <w:szCs w:val="20"/>
        </w:rPr>
        <w:t xml:space="preserve"> се установява, че за 3 общини </w:t>
      </w:r>
      <w:r>
        <w:rPr>
          <w:rFonts w:ascii="Arial" w:hAnsi="Arial" w:cs="Arial"/>
          <w:iCs/>
          <w:sz w:val="20"/>
          <w:szCs w:val="20"/>
          <w:lang w:val="bg-BG"/>
        </w:rPr>
        <w:t>(</w:t>
      </w:r>
      <w:r w:rsidRPr="00377F3D">
        <w:rPr>
          <w:rFonts w:ascii="Arial" w:hAnsi="Arial" w:cs="Arial"/>
          <w:iCs/>
          <w:sz w:val="20"/>
          <w:szCs w:val="20"/>
        </w:rPr>
        <w:t>Гълъбово, Николаево и Опан</w:t>
      </w:r>
      <w:r>
        <w:rPr>
          <w:rFonts w:ascii="Arial" w:hAnsi="Arial" w:cs="Arial"/>
          <w:iCs/>
          <w:sz w:val="20"/>
          <w:szCs w:val="20"/>
          <w:lang w:val="bg-BG"/>
        </w:rPr>
        <w:t>)</w:t>
      </w:r>
      <w:r w:rsidRPr="00377F3D">
        <w:rPr>
          <w:rFonts w:ascii="Arial" w:hAnsi="Arial" w:cs="Arial"/>
          <w:iCs/>
          <w:sz w:val="20"/>
          <w:szCs w:val="20"/>
        </w:rPr>
        <w:t xml:space="preserve"> направените разходи за ДМА представляват над половината от приходите от продажби. Въз основа на този факт може да заключим, че икономическата конюнктура в тези общини се подобрява.         </w:t>
      </w:r>
    </w:p>
    <w:p w:rsidR="00754199" w:rsidRPr="00AD7466" w:rsidRDefault="00754199" w:rsidP="00754199">
      <w:pPr>
        <w:autoSpaceDE w:val="0"/>
        <w:autoSpaceDN w:val="0"/>
        <w:adjustRightInd w:val="0"/>
        <w:jc w:val="center"/>
        <w:rPr>
          <w:rFonts w:ascii="Arial" w:hAnsi="Arial" w:cs="Arial"/>
          <w:iCs/>
          <w:sz w:val="16"/>
          <w:szCs w:val="16"/>
        </w:rPr>
      </w:pPr>
    </w:p>
    <w:p w:rsidR="00754199" w:rsidRDefault="00AF745A" w:rsidP="00FE2DE9">
      <w:pPr>
        <w:autoSpaceDE w:val="0"/>
        <w:autoSpaceDN w:val="0"/>
        <w:adjustRightInd w:val="0"/>
        <w:jc w:val="center"/>
        <w:rPr>
          <w:rFonts w:ascii="Cambria" w:hAnsi="Cambria" w:cs="TimesNewRomanPS-ItalicMT"/>
          <w:i/>
          <w:iCs/>
        </w:rPr>
      </w:pPr>
      <w:r>
        <w:rPr>
          <w:rFonts w:ascii="Cambria" w:hAnsi="Cambria" w:cs="TimesNewRomanPS-ItalicMT"/>
          <w:i/>
          <w:noProof/>
          <w:lang w:val="bg-BG" w:eastAsia="bg-BG"/>
        </w:rPr>
        <w:drawing>
          <wp:inline distT="0" distB="0" distL="0" distR="0">
            <wp:extent cx="4630420" cy="2484120"/>
            <wp:effectExtent l="19050" t="0" r="0" b="0"/>
            <wp:docPr id="6"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6"/>
                    <a:srcRect/>
                    <a:stretch>
                      <a:fillRect/>
                    </a:stretch>
                  </pic:blipFill>
                  <pic:spPr bwMode="auto">
                    <a:xfrm>
                      <a:off x="0" y="0"/>
                      <a:ext cx="4630420" cy="2484120"/>
                    </a:xfrm>
                    <a:prstGeom prst="rect">
                      <a:avLst/>
                    </a:prstGeom>
                    <a:noFill/>
                    <a:ln w="9525">
                      <a:noFill/>
                      <a:miter lim="800000"/>
                      <a:headEnd/>
                      <a:tailEnd/>
                    </a:ln>
                  </pic:spPr>
                </pic:pic>
              </a:graphicData>
            </a:graphic>
          </wp:inline>
        </w:drawing>
      </w:r>
    </w:p>
    <w:p w:rsidR="00754199" w:rsidRPr="00AD7466" w:rsidRDefault="00754199" w:rsidP="00754199">
      <w:pPr>
        <w:autoSpaceDE w:val="0"/>
        <w:autoSpaceDN w:val="0"/>
        <w:adjustRightInd w:val="0"/>
        <w:jc w:val="center"/>
        <w:rPr>
          <w:rFonts w:ascii="Arial" w:hAnsi="Arial" w:cs="Arial"/>
          <w:b/>
          <w:iCs/>
          <w:sz w:val="16"/>
          <w:szCs w:val="16"/>
          <w:lang w:val="bg-BG"/>
        </w:rPr>
      </w:pPr>
    </w:p>
    <w:p w:rsidR="00754199" w:rsidRPr="00CF74F7" w:rsidRDefault="00754199" w:rsidP="00754199">
      <w:pPr>
        <w:autoSpaceDE w:val="0"/>
        <w:autoSpaceDN w:val="0"/>
        <w:adjustRightInd w:val="0"/>
        <w:jc w:val="center"/>
        <w:rPr>
          <w:rFonts w:ascii="Arial" w:hAnsi="Arial" w:cs="Arial"/>
          <w:b/>
          <w:i/>
          <w:iCs/>
          <w:sz w:val="20"/>
          <w:szCs w:val="20"/>
        </w:rPr>
      </w:pPr>
      <w:r w:rsidRPr="00CF74F7">
        <w:rPr>
          <w:rFonts w:ascii="Arial" w:hAnsi="Arial" w:cs="Arial"/>
          <w:b/>
          <w:i/>
          <w:iCs/>
          <w:sz w:val="20"/>
          <w:szCs w:val="20"/>
        </w:rPr>
        <w:t>Фиг. 3</w:t>
      </w:r>
      <w:r w:rsidRPr="00CF74F7">
        <w:rPr>
          <w:rFonts w:ascii="Arial" w:hAnsi="Arial" w:cs="Arial"/>
          <w:b/>
          <w:i/>
          <w:iCs/>
          <w:sz w:val="20"/>
          <w:szCs w:val="20"/>
          <w:lang w:val="bg-BG"/>
        </w:rPr>
        <w:t>.</w:t>
      </w:r>
      <w:r w:rsidRPr="00CF74F7">
        <w:rPr>
          <w:rFonts w:ascii="Arial" w:hAnsi="Arial" w:cs="Arial"/>
          <w:b/>
          <w:i/>
          <w:iCs/>
          <w:sz w:val="20"/>
          <w:szCs w:val="20"/>
        </w:rPr>
        <w:t xml:space="preserve"> </w:t>
      </w:r>
      <w:r w:rsidRPr="00CF74F7">
        <w:rPr>
          <w:rFonts w:ascii="Arial" w:hAnsi="Arial" w:cs="Arial"/>
          <w:i/>
          <w:iCs/>
          <w:sz w:val="20"/>
          <w:szCs w:val="20"/>
        </w:rPr>
        <w:t>Разходи за ДМА на човек от населението по общини</w:t>
      </w:r>
    </w:p>
    <w:p w:rsidR="00754199" w:rsidRPr="00FF7897" w:rsidRDefault="00754199" w:rsidP="00754199">
      <w:pPr>
        <w:autoSpaceDE w:val="0"/>
        <w:autoSpaceDN w:val="0"/>
        <w:adjustRightInd w:val="0"/>
        <w:ind w:firstLine="680"/>
        <w:jc w:val="center"/>
        <w:rPr>
          <w:rFonts w:ascii="Arial" w:hAnsi="Arial" w:cs="Arial"/>
          <w:iCs/>
          <w:sz w:val="16"/>
          <w:szCs w:val="16"/>
          <w:lang w:val="en-US"/>
        </w:rPr>
      </w:pP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 xml:space="preserve">Четвъртият показател има за цел да представи подкрепата на местната власт за икономическото развитие на общините.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 xml:space="preserve">Стойността на общинските проекти на човек от населението може да се използва като критерий не само за активността на общинската администрация в работата по проекти, но и за цялостното подобряване на средата за живот в съответната община.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 xml:space="preserve">И по този показател различията между общините са изключително големи, като отново община Раднево е с най-висока стойност. Като цяло по този показател общините от област Стара Загора са под средното за страната.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При средна стойност на показателя на национално ниво от 564,9 лв.</w:t>
      </w:r>
      <w:r>
        <w:rPr>
          <w:rFonts w:ascii="Arial" w:hAnsi="Arial" w:cs="Arial"/>
          <w:iCs/>
          <w:sz w:val="20"/>
          <w:szCs w:val="20"/>
          <w:lang w:val="en-US"/>
        </w:rPr>
        <w:t xml:space="preserve"> </w:t>
      </w:r>
      <w:r w:rsidRPr="007361C7">
        <w:rPr>
          <w:rFonts w:ascii="Arial" w:hAnsi="Arial" w:cs="Arial"/>
          <w:iCs/>
          <w:sz w:val="20"/>
          <w:szCs w:val="20"/>
        </w:rPr>
        <w:t>(</w:t>
      </w:r>
      <w:r w:rsidRPr="00AD7466">
        <w:rPr>
          <w:rFonts w:ascii="Arial" w:hAnsi="Arial" w:cs="Arial"/>
          <w:sz w:val="20"/>
          <w:szCs w:val="20"/>
          <w:lang w:val="en-US"/>
        </w:rPr>
        <w:t>Aleksiev</w:t>
      </w:r>
      <w:r w:rsidRPr="00AD7466">
        <w:rPr>
          <w:rFonts w:ascii="Arial" w:hAnsi="Arial" w:cs="Arial"/>
          <w:sz w:val="20"/>
          <w:szCs w:val="20"/>
        </w:rPr>
        <w:t xml:space="preserve">, </w:t>
      </w:r>
      <w:r w:rsidRPr="00AD7466">
        <w:rPr>
          <w:rFonts w:ascii="Arial" w:hAnsi="Arial" w:cs="Arial"/>
          <w:sz w:val="20"/>
          <w:szCs w:val="20"/>
          <w:lang w:val="en-US"/>
        </w:rPr>
        <w:t>Trichkov</w:t>
      </w:r>
      <w:r w:rsidRPr="00AD7466">
        <w:rPr>
          <w:rFonts w:ascii="Arial" w:hAnsi="Arial" w:cs="Arial"/>
          <w:sz w:val="20"/>
          <w:szCs w:val="20"/>
        </w:rPr>
        <w:t xml:space="preserve">, </w:t>
      </w:r>
      <w:r w:rsidRPr="00AD7466">
        <w:rPr>
          <w:rFonts w:ascii="Arial" w:hAnsi="Arial" w:cs="Arial"/>
          <w:sz w:val="20"/>
          <w:szCs w:val="20"/>
          <w:lang w:val="en-US"/>
        </w:rPr>
        <w:t>Vuldgev</w:t>
      </w:r>
      <w:r w:rsidRPr="00AD7466">
        <w:rPr>
          <w:rFonts w:ascii="Arial" w:hAnsi="Arial" w:cs="Arial"/>
          <w:sz w:val="20"/>
          <w:szCs w:val="20"/>
          <w:lang w:val="bg-BG"/>
        </w:rPr>
        <w:t>, 2013</w:t>
      </w:r>
      <w:r w:rsidRPr="007361C7">
        <w:rPr>
          <w:rFonts w:ascii="Arial" w:hAnsi="Arial" w:cs="Arial"/>
          <w:iCs/>
          <w:sz w:val="20"/>
          <w:szCs w:val="20"/>
        </w:rPr>
        <w:t>)</w:t>
      </w:r>
      <w:r w:rsidRPr="00377F3D">
        <w:rPr>
          <w:rFonts w:ascii="Arial" w:hAnsi="Arial" w:cs="Arial"/>
          <w:iCs/>
          <w:sz w:val="20"/>
          <w:szCs w:val="20"/>
        </w:rPr>
        <w:t xml:space="preserve"> единствено община Раднево и община Стара Загора постигат по-вис</w:t>
      </w:r>
      <w:r>
        <w:rPr>
          <w:rFonts w:ascii="Arial" w:hAnsi="Arial" w:cs="Arial"/>
          <w:iCs/>
          <w:sz w:val="20"/>
          <w:szCs w:val="20"/>
        </w:rPr>
        <w:t xml:space="preserve">оки резултати. За някои общини </w:t>
      </w:r>
      <w:r>
        <w:rPr>
          <w:rFonts w:ascii="Arial" w:hAnsi="Arial" w:cs="Arial"/>
          <w:iCs/>
          <w:sz w:val="20"/>
          <w:szCs w:val="20"/>
          <w:lang w:val="bg-BG"/>
        </w:rPr>
        <w:t xml:space="preserve">– </w:t>
      </w:r>
      <w:r w:rsidRPr="00377F3D">
        <w:rPr>
          <w:rFonts w:ascii="Arial" w:hAnsi="Arial" w:cs="Arial"/>
          <w:iCs/>
          <w:sz w:val="20"/>
          <w:szCs w:val="20"/>
        </w:rPr>
        <w:t xml:space="preserve">Опан, Мъглиж, Гурково, Николаево, Чирпан </w:t>
      </w:r>
      <w:r>
        <w:rPr>
          <w:rFonts w:ascii="Arial" w:hAnsi="Arial" w:cs="Arial"/>
          <w:iCs/>
          <w:sz w:val="20"/>
          <w:szCs w:val="20"/>
          <w:lang w:val="bg-BG"/>
        </w:rPr>
        <w:t xml:space="preserve">– </w:t>
      </w:r>
      <w:r w:rsidRPr="00377F3D">
        <w:rPr>
          <w:rFonts w:ascii="Arial" w:hAnsi="Arial" w:cs="Arial"/>
          <w:iCs/>
          <w:sz w:val="20"/>
          <w:szCs w:val="20"/>
        </w:rPr>
        <w:t xml:space="preserve">нивото на показателя е по-скоро символично. Имайки предвид, че повечето общини от областта имат малко на </w:t>
      </w:r>
      <w:r w:rsidRPr="00377F3D">
        <w:rPr>
          <w:rFonts w:ascii="Arial" w:hAnsi="Arial" w:cs="Arial"/>
          <w:iCs/>
          <w:sz w:val="20"/>
          <w:szCs w:val="20"/>
        </w:rPr>
        <w:lastRenderedPageBreak/>
        <w:t>брой население</w:t>
      </w:r>
      <w:r>
        <w:rPr>
          <w:rFonts w:ascii="Arial" w:hAnsi="Arial" w:cs="Arial"/>
          <w:iCs/>
          <w:sz w:val="20"/>
          <w:szCs w:val="20"/>
          <w:lang w:val="bg-BG"/>
        </w:rPr>
        <w:t>,</w:t>
      </w:r>
      <w:r w:rsidRPr="00377F3D">
        <w:rPr>
          <w:rFonts w:ascii="Arial" w:hAnsi="Arial" w:cs="Arial"/>
          <w:iCs/>
          <w:sz w:val="20"/>
          <w:szCs w:val="20"/>
        </w:rPr>
        <w:t xml:space="preserve"> може да </w:t>
      </w:r>
      <w:r>
        <w:rPr>
          <w:rFonts w:ascii="Arial" w:hAnsi="Arial" w:cs="Arial"/>
          <w:iCs/>
          <w:sz w:val="20"/>
          <w:szCs w:val="20"/>
          <w:lang w:val="bg-BG"/>
        </w:rPr>
        <w:t xml:space="preserve">се </w:t>
      </w:r>
      <w:r w:rsidRPr="00377F3D">
        <w:rPr>
          <w:rFonts w:ascii="Arial" w:hAnsi="Arial" w:cs="Arial"/>
          <w:iCs/>
          <w:sz w:val="20"/>
          <w:szCs w:val="20"/>
        </w:rPr>
        <w:t>определ</w:t>
      </w:r>
      <w:r>
        <w:rPr>
          <w:rFonts w:ascii="Arial" w:hAnsi="Arial" w:cs="Arial"/>
          <w:iCs/>
          <w:sz w:val="20"/>
          <w:szCs w:val="20"/>
        </w:rPr>
        <w:t>и, че общинските проекти не осигуряват достатъчн</w:t>
      </w:r>
      <w:r>
        <w:rPr>
          <w:rFonts w:ascii="Arial" w:hAnsi="Arial" w:cs="Arial"/>
          <w:iCs/>
          <w:sz w:val="20"/>
          <w:szCs w:val="20"/>
          <w:lang w:val="bg-BG"/>
        </w:rPr>
        <w:t>о</w:t>
      </w:r>
      <w:r>
        <w:rPr>
          <w:rFonts w:ascii="Arial" w:hAnsi="Arial" w:cs="Arial"/>
          <w:iCs/>
          <w:sz w:val="20"/>
          <w:szCs w:val="20"/>
        </w:rPr>
        <w:t xml:space="preserve"> финансови средства</w:t>
      </w:r>
      <w:r w:rsidRPr="00377F3D">
        <w:rPr>
          <w:rFonts w:ascii="Arial" w:hAnsi="Arial" w:cs="Arial"/>
          <w:iCs/>
          <w:sz w:val="20"/>
          <w:szCs w:val="20"/>
        </w:rPr>
        <w:t xml:space="preserve">, </w:t>
      </w:r>
      <w:r>
        <w:rPr>
          <w:rFonts w:ascii="Arial" w:hAnsi="Arial" w:cs="Arial"/>
          <w:iCs/>
          <w:sz w:val="20"/>
          <w:szCs w:val="20"/>
        </w:rPr>
        <w:t>чрез които да се постигнат</w:t>
      </w:r>
      <w:r w:rsidRPr="00377F3D">
        <w:rPr>
          <w:rFonts w:ascii="Arial" w:hAnsi="Arial" w:cs="Arial"/>
          <w:iCs/>
          <w:sz w:val="20"/>
          <w:szCs w:val="20"/>
        </w:rPr>
        <w:t xml:space="preserve"> значими еф</w:t>
      </w:r>
      <w:r>
        <w:rPr>
          <w:rFonts w:ascii="Arial" w:hAnsi="Arial" w:cs="Arial"/>
          <w:iCs/>
          <w:sz w:val="20"/>
          <w:szCs w:val="20"/>
        </w:rPr>
        <w:t>екти за местното общество.</w:t>
      </w:r>
    </w:p>
    <w:p w:rsidR="00F617B1" w:rsidRPr="00F617B1" w:rsidRDefault="00F617B1" w:rsidP="00754199">
      <w:pPr>
        <w:autoSpaceDE w:val="0"/>
        <w:autoSpaceDN w:val="0"/>
        <w:adjustRightInd w:val="0"/>
        <w:ind w:firstLine="680"/>
        <w:jc w:val="both"/>
        <w:rPr>
          <w:rFonts w:ascii="Arial" w:hAnsi="Arial" w:cs="Arial"/>
          <w:iCs/>
          <w:sz w:val="20"/>
          <w:szCs w:val="20"/>
          <w:lang w:val="bg-BG"/>
        </w:rPr>
      </w:pPr>
    </w:p>
    <w:p w:rsidR="00754199" w:rsidRDefault="00AF745A" w:rsidP="00931CCF">
      <w:pPr>
        <w:autoSpaceDE w:val="0"/>
        <w:autoSpaceDN w:val="0"/>
        <w:adjustRightInd w:val="0"/>
        <w:spacing w:before="120"/>
        <w:ind w:left="-57"/>
        <w:jc w:val="center"/>
        <w:rPr>
          <w:rFonts w:ascii="Cambria" w:hAnsi="Cambria" w:cs="TimesNewRomanPS-ItalicMT"/>
          <w:i/>
          <w:iCs/>
        </w:rPr>
      </w:pPr>
      <w:r>
        <w:rPr>
          <w:rFonts w:ascii="Cambria" w:hAnsi="Cambria" w:cs="TimesNewRomanPS-ItalicMT"/>
          <w:i/>
          <w:noProof/>
          <w:lang w:val="bg-BG" w:eastAsia="bg-BG"/>
        </w:rPr>
        <w:drawing>
          <wp:inline distT="0" distB="0" distL="0" distR="0">
            <wp:extent cx="4651375" cy="2626995"/>
            <wp:effectExtent l="19050" t="0" r="0" b="0"/>
            <wp:docPr id="7"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17"/>
                    <a:srcRect/>
                    <a:stretch>
                      <a:fillRect/>
                    </a:stretch>
                  </pic:blipFill>
                  <pic:spPr bwMode="auto">
                    <a:xfrm>
                      <a:off x="0" y="0"/>
                      <a:ext cx="4651375" cy="2626995"/>
                    </a:xfrm>
                    <a:prstGeom prst="rect">
                      <a:avLst/>
                    </a:prstGeom>
                    <a:noFill/>
                    <a:ln w="9525">
                      <a:noFill/>
                      <a:miter lim="800000"/>
                      <a:headEnd/>
                      <a:tailEnd/>
                    </a:ln>
                  </pic:spPr>
                </pic:pic>
              </a:graphicData>
            </a:graphic>
          </wp:inline>
        </w:drawing>
      </w:r>
    </w:p>
    <w:p w:rsidR="00754199" w:rsidRDefault="00754199" w:rsidP="00754199">
      <w:pPr>
        <w:autoSpaceDE w:val="0"/>
        <w:autoSpaceDN w:val="0"/>
        <w:adjustRightInd w:val="0"/>
        <w:jc w:val="center"/>
        <w:rPr>
          <w:rFonts w:ascii="Arial" w:hAnsi="Arial" w:cs="Arial"/>
          <w:b/>
          <w:iCs/>
          <w:sz w:val="20"/>
          <w:szCs w:val="20"/>
          <w:lang w:val="bg-BG"/>
        </w:rPr>
      </w:pPr>
    </w:p>
    <w:p w:rsidR="00754199" w:rsidRDefault="00754199" w:rsidP="00754199">
      <w:pPr>
        <w:autoSpaceDE w:val="0"/>
        <w:autoSpaceDN w:val="0"/>
        <w:adjustRightInd w:val="0"/>
        <w:jc w:val="center"/>
        <w:rPr>
          <w:rFonts w:ascii="Arial" w:hAnsi="Arial" w:cs="Arial"/>
          <w:i/>
          <w:iCs/>
          <w:sz w:val="20"/>
          <w:szCs w:val="20"/>
          <w:lang w:val="bg-BG"/>
        </w:rPr>
      </w:pPr>
      <w:r w:rsidRPr="00CF74F7">
        <w:rPr>
          <w:rFonts w:ascii="Arial" w:hAnsi="Arial" w:cs="Arial"/>
          <w:b/>
          <w:i/>
          <w:iCs/>
          <w:sz w:val="20"/>
          <w:szCs w:val="20"/>
        </w:rPr>
        <w:t>Фиг. 4</w:t>
      </w:r>
      <w:r w:rsidRPr="00CF74F7">
        <w:rPr>
          <w:rFonts w:ascii="Arial" w:hAnsi="Arial" w:cs="Arial"/>
          <w:b/>
          <w:i/>
          <w:iCs/>
          <w:sz w:val="20"/>
          <w:szCs w:val="20"/>
          <w:lang w:val="bg-BG"/>
        </w:rPr>
        <w:t>.</w:t>
      </w:r>
      <w:r w:rsidRPr="00CF74F7">
        <w:rPr>
          <w:rFonts w:ascii="Arial" w:hAnsi="Arial" w:cs="Arial"/>
          <w:b/>
          <w:i/>
          <w:iCs/>
          <w:sz w:val="20"/>
          <w:szCs w:val="20"/>
        </w:rPr>
        <w:t xml:space="preserve"> </w:t>
      </w:r>
      <w:r w:rsidRPr="00CF74F7">
        <w:rPr>
          <w:rFonts w:ascii="Arial" w:hAnsi="Arial" w:cs="Arial"/>
          <w:i/>
          <w:iCs/>
          <w:sz w:val="20"/>
          <w:szCs w:val="20"/>
        </w:rPr>
        <w:t>Стойност на общинските проекти на човек</w:t>
      </w:r>
    </w:p>
    <w:p w:rsidR="00754199" w:rsidRPr="00CF74F7" w:rsidRDefault="00754199" w:rsidP="00754199">
      <w:pPr>
        <w:autoSpaceDE w:val="0"/>
        <w:autoSpaceDN w:val="0"/>
        <w:adjustRightInd w:val="0"/>
        <w:jc w:val="center"/>
        <w:rPr>
          <w:rFonts w:ascii="Arial" w:hAnsi="Arial" w:cs="Arial"/>
          <w:i/>
          <w:iCs/>
          <w:sz w:val="20"/>
          <w:szCs w:val="20"/>
          <w:lang w:val="en-US"/>
        </w:rPr>
      </w:pPr>
      <w:r w:rsidRPr="00CF74F7">
        <w:rPr>
          <w:rFonts w:ascii="Arial" w:hAnsi="Arial" w:cs="Arial"/>
          <w:i/>
          <w:iCs/>
          <w:sz w:val="20"/>
          <w:szCs w:val="20"/>
        </w:rPr>
        <w:t>от населението по общини</w:t>
      </w:r>
    </w:p>
    <w:p w:rsidR="00754199" w:rsidRDefault="00754199" w:rsidP="00754199">
      <w:pPr>
        <w:autoSpaceDE w:val="0"/>
        <w:autoSpaceDN w:val="0"/>
        <w:adjustRightInd w:val="0"/>
        <w:jc w:val="center"/>
        <w:rPr>
          <w:rFonts w:ascii="Arial" w:hAnsi="Arial" w:cs="Arial"/>
          <w:iCs/>
          <w:sz w:val="20"/>
          <w:szCs w:val="20"/>
          <w:lang w:val="bg-BG"/>
        </w:rPr>
      </w:pP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Въз основа на представените данни за всеки показател са изчислени оценка и тегловен ко</w:t>
      </w:r>
      <w:r>
        <w:rPr>
          <w:rFonts w:ascii="Arial" w:hAnsi="Arial" w:cs="Arial"/>
          <w:iCs/>
          <w:sz w:val="20"/>
          <w:szCs w:val="20"/>
        </w:rPr>
        <w:t xml:space="preserve">ефициент за съответната община </w:t>
      </w:r>
      <w:r>
        <w:rPr>
          <w:rFonts w:ascii="Arial" w:hAnsi="Arial" w:cs="Arial"/>
          <w:iCs/>
          <w:sz w:val="20"/>
          <w:szCs w:val="20"/>
          <w:lang w:val="bg-BG"/>
        </w:rPr>
        <w:t>(</w:t>
      </w:r>
      <w:r w:rsidRPr="00377F3D">
        <w:rPr>
          <w:rFonts w:ascii="Arial" w:hAnsi="Arial" w:cs="Arial"/>
          <w:iCs/>
          <w:sz w:val="20"/>
          <w:szCs w:val="20"/>
        </w:rPr>
        <w:t>табл.</w:t>
      </w:r>
      <w:r>
        <w:rPr>
          <w:rFonts w:ascii="Arial" w:hAnsi="Arial" w:cs="Arial"/>
          <w:iCs/>
          <w:sz w:val="20"/>
          <w:szCs w:val="20"/>
          <w:lang w:val="en-US"/>
        </w:rPr>
        <w:t xml:space="preserve"> </w:t>
      </w:r>
      <w:r w:rsidRPr="00377F3D">
        <w:rPr>
          <w:rFonts w:ascii="Arial" w:hAnsi="Arial" w:cs="Arial"/>
          <w:iCs/>
          <w:sz w:val="20"/>
          <w:szCs w:val="20"/>
        </w:rPr>
        <w:t>3</w:t>
      </w:r>
      <w:r>
        <w:rPr>
          <w:rFonts w:ascii="Arial" w:hAnsi="Arial" w:cs="Arial"/>
          <w:iCs/>
          <w:sz w:val="20"/>
          <w:szCs w:val="20"/>
          <w:lang w:val="bg-BG"/>
        </w:rPr>
        <w:t>)</w:t>
      </w:r>
      <w:r w:rsidRPr="00377F3D">
        <w:rPr>
          <w:rFonts w:ascii="Arial" w:hAnsi="Arial" w:cs="Arial"/>
          <w:iCs/>
          <w:sz w:val="20"/>
          <w:szCs w:val="20"/>
        </w:rPr>
        <w:t>.</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Привеждането на стойностните показатели към безразмерни величини дава възможност да се формира единна, обобщена оценка за всяка община на база комплексното влияние на изследваните четири показ</w:t>
      </w:r>
      <w:r>
        <w:rPr>
          <w:rFonts w:ascii="Arial" w:hAnsi="Arial" w:cs="Arial"/>
          <w:iCs/>
          <w:sz w:val="20"/>
          <w:szCs w:val="20"/>
        </w:rPr>
        <w:t xml:space="preserve">ателя. </w:t>
      </w:r>
    </w:p>
    <w:p w:rsidR="00754199" w:rsidRDefault="00754199" w:rsidP="00754199">
      <w:pPr>
        <w:autoSpaceDE w:val="0"/>
        <w:autoSpaceDN w:val="0"/>
        <w:adjustRightInd w:val="0"/>
        <w:ind w:firstLine="680"/>
        <w:jc w:val="both"/>
        <w:rPr>
          <w:rFonts w:ascii="Arial" w:hAnsi="Arial" w:cs="Arial"/>
          <w:iCs/>
          <w:sz w:val="20"/>
          <w:szCs w:val="20"/>
          <w:lang w:val="bg-BG"/>
        </w:rPr>
      </w:pPr>
      <w:r>
        <w:rPr>
          <w:rFonts w:ascii="Arial" w:hAnsi="Arial" w:cs="Arial"/>
          <w:iCs/>
          <w:sz w:val="20"/>
          <w:szCs w:val="20"/>
        </w:rPr>
        <w:t xml:space="preserve">Резултатите показват </w:t>
      </w:r>
      <w:r>
        <w:rPr>
          <w:rFonts w:ascii="Arial" w:hAnsi="Arial" w:cs="Arial"/>
          <w:iCs/>
          <w:sz w:val="20"/>
          <w:szCs w:val="20"/>
          <w:lang w:val="bg-BG"/>
        </w:rPr>
        <w:t>(</w:t>
      </w:r>
      <w:r>
        <w:rPr>
          <w:rFonts w:ascii="Arial" w:hAnsi="Arial" w:cs="Arial"/>
          <w:iCs/>
          <w:sz w:val="20"/>
          <w:szCs w:val="20"/>
        </w:rPr>
        <w:t>табл. 4</w:t>
      </w:r>
      <w:r>
        <w:rPr>
          <w:rFonts w:ascii="Arial" w:hAnsi="Arial" w:cs="Arial"/>
          <w:iCs/>
          <w:sz w:val="20"/>
          <w:szCs w:val="20"/>
          <w:lang w:val="bg-BG"/>
        </w:rPr>
        <w:t>)</w:t>
      </w:r>
      <w:r w:rsidRPr="00377F3D">
        <w:rPr>
          <w:rFonts w:ascii="Arial" w:hAnsi="Arial" w:cs="Arial"/>
          <w:iCs/>
          <w:sz w:val="20"/>
          <w:szCs w:val="20"/>
        </w:rPr>
        <w:t xml:space="preserve">, че двете общини </w:t>
      </w:r>
      <w:r>
        <w:rPr>
          <w:rFonts w:ascii="Arial" w:hAnsi="Arial" w:cs="Arial"/>
          <w:iCs/>
          <w:sz w:val="20"/>
          <w:szCs w:val="20"/>
          <w:lang w:val="bg-BG"/>
        </w:rPr>
        <w:t xml:space="preserve">– </w:t>
      </w:r>
      <w:r w:rsidRPr="00377F3D">
        <w:rPr>
          <w:rFonts w:ascii="Arial" w:hAnsi="Arial" w:cs="Arial"/>
          <w:iCs/>
          <w:sz w:val="20"/>
          <w:szCs w:val="20"/>
        </w:rPr>
        <w:t>Раднево и Гълъбово</w:t>
      </w:r>
      <w:r>
        <w:rPr>
          <w:rFonts w:ascii="Arial" w:hAnsi="Arial" w:cs="Arial"/>
          <w:iCs/>
          <w:sz w:val="20"/>
          <w:szCs w:val="20"/>
          <w:lang w:val="bg-BG"/>
        </w:rPr>
        <w:t>,</w:t>
      </w:r>
      <w:r w:rsidRPr="00377F3D">
        <w:rPr>
          <w:rFonts w:ascii="Arial" w:hAnsi="Arial" w:cs="Arial"/>
          <w:iCs/>
          <w:sz w:val="20"/>
          <w:szCs w:val="20"/>
        </w:rPr>
        <w:t xml:space="preserve"> не само се определят като общините с най-силна икономическа подкрепа за населението си, но и икономическата среда е в пъти по-добра в сравнение с останалите. </w:t>
      </w:r>
    </w:p>
    <w:p w:rsidR="00754199"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Дори община Стара Загора</w:t>
      </w:r>
      <w:r>
        <w:rPr>
          <w:rFonts w:ascii="Arial" w:hAnsi="Arial" w:cs="Arial"/>
          <w:iCs/>
          <w:sz w:val="20"/>
          <w:szCs w:val="20"/>
          <w:lang w:val="bg-BG"/>
        </w:rPr>
        <w:t>,</w:t>
      </w:r>
      <w:r w:rsidRPr="00377F3D">
        <w:rPr>
          <w:rFonts w:ascii="Arial" w:hAnsi="Arial" w:cs="Arial"/>
          <w:iCs/>
          <w:sz w:val="20"/>
          <w:szCs w:val="20"/>
        </w:rPr>
        <w:t xml:space="preserve"> в която се намира административния</w:t>
      </w:r>
      <w:r>
        <w:rPr>
          <w:rFonts w:ascii="Arial" w:hAnsi="Arial" w:cs="Arial"/>
          <w:iCs/>
          <w:sz w:val="20"/>
          <w:szCs w:val="20"/>
          <w:lang w:val="bg-BG"/>
        </w:rPr>
        <w:t>т</w:t>
      </w:r>
      <w:r w:rsidRPr="00377F3D">
        <w:rPr>
          <w:rFonts w:ascii="Arial" w:hAnsi="Arial" w:cs="Arial"/>
          <w:iCs/>
          <w:sz w:val="20"/>
          <w:szCs w:val="20"/>
        </w:rPr>
        <w:t xml:space="preserve"> център и най-големият град на областта</w:t>
      </w:r>
      <w:r>
        <w:rPr>
          <w:rFonts w:ascii="Arial" w:hAnsi="Arial" w:cs="Arial"/>
          <w:iCs/>
          <w:sz w:val="20"/>
          <w:szCs w:val="20"/>
          <w:lang w:val="bg-BG"/>
        </w:rPr>
        <w:t>,</w:t>
      </w:r>
      <w:r w:rsidRPr="00377F3D">
        <w:rPr>
          <w:rFonts w:ascii="Arial" w:hAnsi="Arial" w:cs="Arial"/>
          <w:iCs/>
          <w:sz w:val="20"/>
          <w:szCs w:val="20"/>
        </w:rPr>
        <w:t xml:space="preserve"> отчита оценка под 1, което е критерий за негативна ситуация. </w:t>
      </w:r>
    </w:p>
    <w:p w:rsidR="00754199" w:rsidRPr="007361C7" w:rsidRDefault="00754199" w:rsidP="00754199">
      <w:pPr>
        <w:autoSpaceDE w:val="0"/>
        <w:autoSpaceDN w:val="0"/>
        <w:adjustRightInd w:val="0"/>
        <w:ind w:firstLine="680"/>
        <w:jc w:val="both"/>
        <w:rPr>
          <w:rFonts w:ascii="Arial" w:hAnsi="Arial" w:cs="Arial"/>
          <w:iCs/>
          <w:sz w:val="20"/>
          <w:szCs w:val="20"/>
          <w:lang w:val="bg-BG"/>
        </w:rPr>
      </w:pPr>
      <w:r w:rsidRPr="00377F3D">
        <w:rPr>
          <w:rFonts w:ascii="Arial" w:hAnsi="Arial" w:cs="Arial"/>
          <w:iCs/>
          <w:sz w:val="20"/>
          <w:szCs w:val="20"/>
        </w:rPr>
        <w:t>Община Казанлък, която също е значителна като брой население</w:t>
      </w:r>
      <w:r>
        <w:rPr>
          <w:rFonts w:ascii="Arial" w:hAnsi="Arial" w:cs="Arial"/>
          <w:iCs/>
          <w:sz w:val="20"/>
          <w:szCs w:val="20"/>
          <w:lang w:val="bg-BG"/>
        </w:rPr>
        <w:t>,</w:t>
      </w:r>
      <w:r w:rsidRPr="00377F3D">
        <w:rPr>
          <w:rFonts w:ascii="Arial" w:hAnsi="Arial" w:cs="Arial"/>
          <w:iCs/>
          <w:sz w:val="20"/>
          <w:szCs w:val="20"/>
        </w:rPr>
        <w:t xml:space="preserve"> постига много ниска обобщена оценка или и тя не успява да се възползва от този факт, за да поддържа и развива икономическия си потенциал. Останалите общини от област Стара Загора постигат резултати, които с право могат да им отредят роля на общини</w:t>
      </w:r>
      <w:r>
        <w:rPr>
          <w:rFonts w:ascii="Arial" w:hAnsi="Arial" w:cs="Arial"/>
          <w:iCs/>
          <w:sz w:val="20"/>
          <w:szCs w:val="20"/>
          <w:lang w:val="bg-BG"/>
        </w:rPr>
        <w:t>,</w:t>
      </w:r>
      <w:r w:rsidRPr="00377F3D">
        <w:rPr>
          <w:rFonts w:ascii="Arial" w:hAnsi="Arial" w:cs="Arial"/>
          <w:iCs/>
          <w:sz w:val="20"/>
          <w:szCs w:val="20"/>
        </w:rPr>
        <w:t xml:space="preserve"> изоставащи в икономическото си развитие и неоказващи подкрепа за своето население, което определя неблагоприятна перспе</w:t>
      </w:r>
      <w:r>
        <w:rPr>
          <w:rFonts w:ascii="Arial" w:hAnsi="Arial" w:cs="Arial"/>
          <w:iCs/>
          <w:sz w:val="20"/>
          <w:szCs w:val="20"/>
        </w:rPr>
        <w:t xml:space="preserve">ктива за тяхното развитие. </w:t>
      </w:r>
    </w:p>
    <w:p w:rsidR="00966BB5" w:rsidRDefault="00966BB5" w:rsidP="00FE2DE9">
      <w:pPr>
        <w:autoSpaceDE w:val="0"/>
        <w:autoSpaceDN w:val="0"/>
        <w:adjustRightInd w:val="0"/>
        <w:jc w:val="center"/>
        <w:rPr>
          <w:rFonts w:ascii="Arial" w:hAnsi="Arial" w:cs="Arial"/>
          <w:b/>
          <w:iCs/>
          <w:sz w:val="20"/>
          <w:szCs w:val="20"/>
        </w:rPr>
      </w:pPr>
    </w:p>
    <w:p w:rsidR="00754199" w:rsidRDefault="00754199" w:rsidP="00FE2DE9">
      <w:pPr>
        <w:autoSpaceDE w:val="0"/>
        <w:autoSpaceDN w:val="0"/>
        <w:adjustRightInd w:val="0"/>
        <w:jc w:val="center"/>
        <w:rPr>
          <w:rFonts w:ascii="Arial" w:hAnsi="Arial" w:cs="Arial"/>
          <w:iCs/>
          <w:sz w:val="20"/>
          <w:szCs w:val="20"/>
          <w:lang w:val="bg-BG"/>
        </w:rPr>
      </w:pPr>
      <w:r w:rsidRPr="002C297B">
        <w:rPr>
          <w:rFonts w:ascii="Arial" w:hAnsi="Arial" w:cs="Arial"/>
          <w:b/>
          <w:iCs/>
          <w:sz w:val="20"/>
          <w:szCs w:val="20"/>
        </w:rPr>
        <w:lastRenderedPageBreak/>
        <w:t>Таблица 3</w:t>
      </w:r>
      <w:r>
        <w:rPr>
          <w:rFonts w:ascii="Arial" w:hAnsi="Arial" w:cs="Arial"/>
          <w:b/>
          <w:iCs/>
          <w:sz w:val="20"/>
          <w:szCs w:val="20"/>
          <w:lang w:val="bg-BG"/>
        </w:rPr>
        <w:t>.</w:t>
      </w:r>
      <w:r w:rsidRPr="002C297B">
        <w:rPr>
          <w:rFonts w:ascii="Arial" w:hAnsi="Arial" w:cs="Arial"/>
          <w:b/>
          <w:iCs/>
          <w:sz w:val="20"/>
          <w:szCs w:val="20"/>
        </w:rPr>
        <w:t xml:space="preserve"> </w:t>
      </w:r>
      <w:r w:rsidRPr="0021625B">
        <w:rPr>
          <w:rFonts w:ascii="Arial" w:hAnsi="Arial" w:cs="Arial"/>
          <w:iCs/>
          <w:sz w:val="20"/>
          <w:szCs w:val="20"/>
        </w:rPr>
        <w:t xml:space="preserve">Изходни стойности за изчисляване </w:t>
      </w:r>
    </w:p>
    <w:p w:rsidR="00754199" w:rsidRDefault="00754199" w:rsidP="00754199">
      <w:pPr>
        <w:autoSpaceDE w:val="0"/>
        <w:autoSpaceDN w:val="0"/>
        <w:adjustRightInd w:val="0"/>
        <w:spacing w:after="240"/>
        <w:jc w:val="center"/>
        <w:rPr>
          <w:rFonts w:ascii="Arial" w:hAnsi="Arial" w:cs="Arial"/>
          <w:iCs/>
          <w:sz w:val="20"/>
          <w:szCs w:val="20"/>
          <w:lang w:val="bg-BG"/>
        </w:rPr>
      </w:pPr>
      <w:r w:rsidRPr="0021625B">
        <w:rPr>
          <w:rFonts w:ascii="Arial" w:hAnsi="Arial" w:cs="Arial"/>
          <w:iCs/>
          <w:sz w:val="20"/>
          <w:szCs w:val="20"/>
        </w:rPr>
        <w:t>на обобщената оценка по общини</w:t>
      </w:r>
    </w:p>
    <w:tbl>
      <w:tblPr>
        <w:tblW w:w="4911" w:type="pct"/>
        <w:jc w:val="center"/>
        <w:tblInd w:w="244" w:type="dxa"/>
        <w:tblLayout w:type="fixed"/>
        <w:tblCellMar>
          <w:left w:w="70" w:type="dxa"/>
          <w:right w:w="70" w:type="dxa"/>
        </w:tblCellMar>
        <w:tblLook w:val="04A0" w:firstRow="1" w:lastRow="0" w:firstColumn="1" w:lastColumn="0" w:noHBand="0" w:noVBand="1"/>
      </w:tblPr>
      <w:tblGrid>
        <w:gridCol w:w="995"/>
        <w:gridCol w:w="991"/>
        <w:gridCol w:w="569"/>
        <w:gridCol w:w="993"/>
        <w:gridCol w:w="566"/>
        <w:gridCol w:w="991"/>
        <w:gridCol w:w="568"/>
        <w:gridCol w:w="993"/>
        <w:gridCol w:w="710"/>
      </w:tblGrid>
      <w:tr w:rsidR="00754199" w:rsidRPr="00A57690" w:rsidTr="00EF03E1">
        <w:trPr>
          <w:trHeight w:val="307"/>
          <w:jc w:val="center"/>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spacing w:after="520"/>
              <w:jc w:val="center"/>
              <w:rPr>
                <w:rFonts w:ascii="Arial" w:hAnsi="Arial" w:cs="Arial"/>
                <w:color w:val="000000"/>
                <w:sz w:val="18"/>
                <w:szCs w:val="18"/>
                <w:lang w:eastAsia="bg-BG"/>
              </w:rPr>
            </w:pPr>
            <w:r>
              <w:rPr>
                <w:rFonts w:ascii="Arial" w:hAnsi="Arial" w:cs="Arial"/>
                <w:color w:val="000000"/>
                <w:sz w:val="18"/>
                <w:szCs w:val="18"/>
                <w:lang w:val="bg-BG" w:eastAsia="bg-BG"/>
              </w:rPr>
              <w:t>О</w:t>
            </w:r>
            <w:r w:rsidRPr="0021625B">
              <w:rPr>
                <w:rFonts w:ascii="Arial" w:hAnsi="Arial" w:cs="Arial"/>
                <w:color w:val="000000"/>
                <w:sz w:val="18"/>
                <w:szCs w:val="18"/>
                <w:lang w:eastAsia="bg-BG"/>
              </w:rPr>
              <w:t>бщини</w:t>
            </w: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E2DE9">
            <w:pPr>
              <w:jc w:val="center"/>
              <w:rPr>
                <w:rFonts w:ascii="Arial" w:hAnsi="Arial" w:cs="Arial"/>
                <w:color w:val="000000"/>
                <w:sz w:val="18"/>
                <w:szCs w:val="18"/>
                <w:lang w:eastAsia="bg-BG"/>
              </w:rPr>
            </w:pPr>
            <w:r>
              <w:rPr>
                <w:rFonts w:ascii="Arial" w:hAnsi="Arial" w:cs="Arial"/>
                <w:color w:val="000000"/>
                <w:sz w:val="18"/>
                <w:szCs w:val="18"/>
                <w:lang w:val="bg-BG" w:eastAsia="bg-BG"/>
              </w:rPr>
              <w:t>Н</w:t>
            </w:r>
            <w:r w:rsidRPr="0021625B">
              <w:rPr>
                <w:rFonts w:ascii="Arial" w:hAnsi="Arial" w:cs="Arial"/>
                <w:color w:val="000000"/>
                <w:sz w:val="18"/>
                <w:szCs w:val="18"/>
                <w:lang w:eastAsia="bg-BG"/>
              </w:rPr>
              <w:t>етни приходи от продажби на човек</w:t>
            </w: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E2DE9">
            <w:pPr>
              <w:jc w:val="center"/>
              <w:rPr>
                <w:rFonts w:ascii="Arial" w:hAnsi="Arial" w:cs="Arial"/>
                <w:color w:val="000000"/>
                <w:sz w:val="18"/>
                <w:szCs w:val="18"/>
                <w:lang w:eastAsia="bg-BG"/>
              </w:rPr>
            </w:pPr>
            <w:r>
              <w:rPr>
                <w:rFonts w:ascii="Arial" w:hAnsi="Arial" w:cs="Arial"/>
                <w:color w:val="000000"/>
                <w:sz w:val="18"/>
                <w:szCs w:val="18"/>
                <w:lang w:val="bg-BG" w:eastAsia="bg-BG"/>
              </w:rPr>
              <w:t>Б</w:t>
            </w:r>
            <w:r w:rsidRPr="0021625B">
              <w:rPr>
                <w:rFonts w:ascii="Arial" w:hAnsi="Arial" w:cs="Arial"/>
                <w:color w:val="000000"/>
                <w:sz w:val="18"/>
                <w:szCs w:val="18"/>
                <w:lang w:eastAsia="bg-BG"/>
              </w:rPr>
              <w:t>рой фирми на 1000 души</w:t>
            </w: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E2DE9">
            <w:pPr>
              <w:jc w:val="center"/>
              <w:rPr>
                <w:rFonts w:ascii="Arial" w:hAnsi="Arial" w:cs="Arial"/>
                <w:color w:val="000000"/>
                <w:sz w:val="18"/>
                <w:szCs w:val="18"/>
                <w:lang w:eastAsia="bg-BG"/>
              </w:rPr>
            </w:pPr>
            <w:r>
              <w:rPr>
                <w:rFonts w:ascii="Arial" w:hAnsi="Arial" w:cs="Arial"/>
                <w:color w:val="000000"/>
                <w:sz w:val="18"/>
                <w:szCs w:val="18"/>
                <w:lang w:val="bg-BG" w:eastAsia="bg-BG"/>
              </w:rPr>
              <w:t>Р</w:t>
            </w:r>
            <w:r w:rsidRPr="0021625B">
              <w:rPr>
                <w:rFonts w:ascii="Arial" w:hAnsi="Arial" w:cs="Arial"/>
                <w:color w:val="000000"/>
                <w:sz w:val="18"/>
                <w:szCs w:val="18"/>
                <w:lang w:eastAsia="bg-BG"/>
              </w:rPr>
              <w:t>азходи за ДМА на човек</w:t>
            </w:r>
          </w:p>
        </w:tc>
        <w:tc>
          <w:tcPr>
            <w:tcW w:w="1154" w:type="pct"/>
            <w:gridSpan w:val="2"/>
            <w:tcBorders>
              <w:top w:val="single" w:sz="4" w:space="0" w:color="auto"/>
              <w:left w:val="nil"/>
              <w:bottom w:val="single" w:sz="4" w:space="0" w:color="auto"/>
              <w:right w:val="single" w:sz="4" w:space="0" w:color="auto"/>
            </w:tcBorders>
            <w:shd w:val="clear" w:color="auto" w:fill="auto"/>
            <w:vAlign w:val="center"/>
            <w:hideMark/>
          </w:tcPr>
          <w:p w:rsidR="00754199" w:rsidRPr="0021625B" w:rsidRDefault="00754199" w:rsidP="00FE2DE9">
            <w:pPr>
              <w:jc w:val="center"/>
              <w:rPr>
                <w:rFonts w:ascii="Arial" w:hAnsi="Arial" w:cs="Arial"/>
                <w:color w:val="000000"/>
                <w:sz w:val="18"/>
                <w:szCs w:val="18"/>
                <w:lang w:eastAsia="bg-BG"/>
              </w:rPr>
            </w:pPr>
            <w:r>
              <w:rPr>
                <w:rFonts w:ascii="Arial" w:hAnsi="Arial" w:cs="Arial"/>
                <w:color w:val="000000"/>
                <w:sz w:val="18"/>
                <w:szCs w:val="18"/>
                <w:lang w:val="bg-BG" w:eastAsia="bg-BG"/>
              </w:rPr>
              <w:t>О</w:t>
            </w:r>
            <w:r w:rsidRPr="0021625B">
              <w:rPr>
                <w:rFonts w:ascii="Arial" w:hAnsi="Arial" w:cs="Arial"/>
                <w:color w:val="000000"/>
                <w:sz w:val="18"/>
                <w:szCs w:val="18"/>
                <w:lang w:eastAsia="bg-BG"/>
              </w:rPr>
              <w:t>бщински проекти на човек</w:t>
            </w:r>
          </w:p>
        </w:tc>
      </w:tr>
      <w:tr w:rsidR="00754199" w:rsidRPr="00A57690" w:rsidTr="00EF03E1">
        <w:trPr>
          <w:trHeight w:val="569"/>
          <w:jc w:val="center"/>
        </w:trPr>
        <w:tc>
          <w:tcPr>
            <w:tcW w:w="674" w:type="pct"/>
            <w:vMerge/>
            <w:tcBorders>
              <w:top w:val="single" w:sz="4" w:space="0" w:color="auto"/>
              <w:left w:val="single" w:sz="4" w:space="0" w:color="auto"/>
              <w:bottom w:val="single" w:sz="4" w:space="0" w:color="auto"/>
              <w:right w:val="single" w:sz="4" w:space="0" w:color="auto"/>
            </w:tcBorders>
            <w:vAlign w:val="center"/>
            <w:hideMark/>
          </w:tcPr>
          <w:p w:rsidR="00754199" w:rsidRPr="0021625B" w:rsidRDefault="00754199" w:rsidP="00FE2DE9">
            <w:pPr>
              <w:jc w:val="center"/>
              <w:rPr>
                <w:rFonts w:ascii="Arial" w:hAnsi="Arial" w:cs="Arial"/>
                <w:color w:val="000000"/>
                <w:sz w:val="18"/>
                <w:szCs w:val="18"/>
                <w:lang w:eastAsia="bg-BG"/>
              </w:rPr>
            </w:pPr>
          </w:p>
        </w:tc>
        <w:tc>
          <w:tcPr>
            <w:tcW w:w="671" w:type="pct"/>
            <w:tcBorders>
              <w:top w:val="nil"/>
              <w:left w:val="nil"/>
              <w:bottom w:val="single" w:sz="4" w:space="0" w:color="auto"/>
              <w:right w:val="single" w:sz="4" w:space="0" w:color="auto"/>
            </w:tcBorders>
            <w:shd w:val="clear" w:color="auto" w:fill="auto"/>
            <w:vAlign w:val="center"/>
            <w:hideMark/>
          </w:tcPr>
          <w:p w:rsidR="00754199" w:rsidRPr="00DB0FE3" w:rsidRDefault="00754199" w:rsidP="00FE2DE9">
            <w:pPr>
              <w:jc w:val="center"/>
              <w:rPr>
                <w:rFonts w:ascii="Arial" w:hAnsi="Arial" w:cs="Arial"/>
                <w:color w:val="000000"/>
                <w:sz w:val="16"/>
                <w:szCs w:val="16"/>
                <w:lang w:eastAsia="bg-BG"/>
              </w:rPr>
            </w:pPr>
            <w:r w:rsidRPr="00DB0FE3">
              <w:rPr>
                <w:rFonts w:ascii="Arial" w:hAnsi="Arial" w:cs="Arial"/>
                <w:color w:val="000000"/>
                <w:sz w:val="16"/>
                <w:szCs w:val="16"/>
                <w:lang w:val="bg-BG" w:eastAsia="bg-BG"/>
              </w:rPr>
              <w:t>Т</w:t>
            </w:r>
            <w:r w:rsidRPr="00DB0FE3">
              <w:rPr>
                <w:rFonts w:ascii="Arial" w:hAnsi="Arial" w:cs="Arial"/>
                <w:color w:val="000000"/>
                <w:sz w:val="16"/>
                <w:szCs w:val="16"/>
                <w:lang w:eastAsia="bg-BG"/>
              </w:rPr>
              <w:t>егловен коефи</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 xml:space="preserve"> циент</w:t>
            </w:r>
          </w:p>
        </w:tc>
        <w:tc>
          <w:tcPr>
            <w:tcW w:w="386" w:type="pct"/>
            <w:tcBorders>
              <w:top w:val="nil"/>
              <w:left w:val="nil"/>
              <w:bottom w:val="single" w:sz="4" w:space="0" w:color="auto"/>
              <w:right w:val="single" w:sz="4" w:space="0" w:color="auto"/>
            </w:tcBorders>
            <w:shd w:val="clear" w:color="auto" w:fill="auto"/>
            <w:noWrap/>
            <w:vAlign w:val="center"/>
            <w:hideMark/>
          </w:tcPr>
          <w:p w:rsidR="00754199" w:rsidRPr="00DB0FE3" w:rsidRDefault="00754199" w:rsidP="00FE2DE9">
            <w:pPr>
              <w:ind w:left="-57"/>
              <w:jc w:val="center"/>
              <w:rPr>
                <w:rFonts w:ascii="Arial" w:hAnsi="Arial" w:cs="Arial"/>
                <w:color w:val="000000"/>
                <w:sz w:val="16"/>
                <w:szCs w:val="16"/>
                <w:lang w:eastAsia="bg-BG"/>
              </w:rPr>
            </w:pPr>
            <w:r w:rsidRPr="00DB0FE3">
              <w:rPr>
                <w:rFonts w:ascii="Arial" w:hAnsi="Arial" w:cs="Arial"/>
                <w:color w:val="000000"/>
                <w:sz w:val="16"/>
                <w:szCs w:val="16"/>
                <w:lang w:val="bg-BG" w:eastAsia="bg-BG"/>
              </w:rPr>
              <w:t>О</w:t>
            </w:r>
            <w:r w:rsidRPr="00DB0FE3">
              <w:rPr>
                <w:rFonts w:ascii="Arial" w:hAnsi="Arial" w:cs="Arial"/>
                <w:color w:val="000000"/>
                <w:sz w:val="16"/>
                <w:szCs w:val="16"/>
                <w:lang w:eastAsia="bg-BG"/>
              </w:rPr>
              <w:t>цен</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 xml:space="preserve"> ка</w:t>
            </w:r>
          </w:p>
        </w:tc>
        <w:tc>
          <w:tcPr>
            <w:tcW w:w="673" w:type="pct"/>
            <w:tcBorders>
              <w:top w:val="nil"/>
              <w:left w:val="nil"/>
              <w:bottom w:val="single" w:sz="4" w:space="0" w:color="auto"/>
              <w:right w:val="single" w:sz="4" w:space="0" w:color="auto"/>
            </w:tcBorders>
            <w:shd w:val="clear" w:color="auto" w:fill="auto"/>
            <w:vAlign w:val="center"/>
            <w:hideMark/>
          </w:tcPr>
          <w:p w:rsidR="00754199" w:rsidRPr="00DB0FE3" w:rsidRDefault="00754199" w:rsidP="00FE2DE9">
            <w:pPr>
              <w:jc w:val="center"/>
              <w:rPr>
                <w:rFonts w:ascii="Arial" w:hAnsi="Arial" w:cs="Arial"/>
                <w:color w:val="000000"/>
                <w:sz w:val="16"/>
                <w:szCs w:val="16"/>
                <w:lang w:eastAsia="bg-BG"/>
              </w:rPr>
            </w:pPr>
            <w:r w:rsidRPr="00DB0FE3">
              <w:rPr>
                <w:rFonts w:ascii="Arial" w:hAnsi="Arial" w:cs="Arial"/>
                <w:color w:val="000000"/>
                <w:sz w:val="16"/>
                <w:szCs w:val="16"/>
                <w:lang w:val="bg-BG" w:eastAsia="bg-BG"/>
              </w:rPr>
              <w:t>Т</w:t>
            </w:r>
            <w:r w:rsidRPr="00DB0FE3">
              <w:rPr>
                <w:rFonts w:ascii="Arial" w:hAnsi="Arial" w:cs="Arial"/>
                <w:color w:val="000000"/>
                <w:sz w:val="16"/>
                <w:szCs w:val="16"/>
                <w:lang w:eastAsia="bg-BG"/>
              </w:rPr>
              <w:t>егловен коефи</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 xml:space="preserve"> циент</w:t>
            </w:r>
          </w:p>
        </w:tc>
        <w:tc>
          <w:tcPr>
            <w:tcW w:w="384" w:type="pct"/>
            <w:tcBorders>
              <w:top w:val="nil"/>
              <w:left w:val="nil"/>
              <w:bottom w:val="single" w:sz="4" w:space="0" w:color="auto"/>
              <w:right w:val="single" w:sz="4" w:space="0" w:color="auto"/>
            </w:tcBorders>
            <w:shd w:val="clear" w:color="auto" w:fill="auto"/>
            <w:noWrap/>
            <w:vAlign w:val="center"/>
            <w:hideMark/>
          </w:tcPr>
          <w:p w:rsidR="00754199" w:rsidRPr="00DB0FE3" w:rsidRDefault="00754199" w:rsidP="00FE2DE9">
            <w:pPr>
              <w:ind w:left="-57"/>
              <w:jc w:val="center"/>
              <w:rPr>
                <w:rFonts w:ascii="Arial" w:hAnsi="Arial" w:cs="Arial"/>
                <w:color w:val="000000"/>
                <w:sz w:val="16"/>
                <w:szCs w:val="16"/>
                <w:lang w:eastAsia="bg-BG"/>
              </w:rPr>
            </w:pPr>
            <w:r w:rsidRPr="00DB0FE3">
              <w:rPr>
                <w:rFonts w:ascii="Arial" w:hAnsi="Arial" w:cs="Arial"/>
                <w:color w:val="000000"/>
                <w:sz w:val="16"/>
                <w:szCs w:val="16"/>
                <w:lang w:val="bg-BG" w:eastAsia="bg-BG"/>
              </w:rPr>
              <w:t>О</w:t>
            </w:r>
            <w:r w:rsidRPr="00DB0FE3">
              <w:rPr>
                <w:rFonts w:ascii="Arial" w:hAnsi="Arial" w:cs="Arial"/>
                <w:color w:val="000000"/>
                <w:sz w:val="16"/>
                <w:szCs w:val="16"/>
                <w:lang w:eastAsia="bg-BG"/>
              </w:rPr>
              <w:t>цен</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ка</w:t>
            </w:r>
          </w:p>
        </w:tc>
        <w:tc>
          <w:tcPr>
            <w:tcW w:w="672" w:type="pct"/>
            <w:tcBorders>
              <w:top w:val="nil"/>
              <w:left w:val="nil"/>
              <w:bottom w:val="single" w:sz="4" w:space="0" w:color="auto"/>
              <w:right w:val="single" w:sz="4" w:space="0" w:color="auto"/>
            </w:tcBorders>
            <w:shd w:val="clear" w:color="auto" w:fill="auto"/>
            <w:vAlign w:val="center"/>
            <w:hideMark/>
          </w:tcPr>
          <w:p w:rsidR="00754199" w:rsidRPr="00DB0FE3" w:rsidRDefault="00754199" w:rsidP="00FE2DE9">
            <w:pPr>
              <w:jc w:val="center"/>
              <w:rPr>
                <w:rFonts w:ascii="Arial" w:hAnsi="Arial" w:cs="Arial"/>
                <w:color w:val="000000"/>
                <w:sz w:val="16"/>
                <w:szCs w:val="16"/>
                <w:lang w:eastAsia="bg-BG"/>
              </w:rPr>
            </w:pPr>
            <w:r w:rsidRPr="00DB0FE3">
              <w:rPr>
                <w:rFonts w:ascii="Arial" w:hAnsi="Arial" w:cs="Arial"/>
                <w:color w:val="000000"/>
                <w:sz w:val="16"/>
                <w:szCs w:val="16"/>
                <w:lang w:val="bg-BG" w:eastAsia="bg-BG"/>
              </w:rPr>
              <w:t>Т</w:t>
            </w:r>
            <w:r w:rsidRPr="00DB0FE3">
              <w:rPr>
                <w:rFonts w:ascii="Arial" w:hAnsi="Arial" w:cs="Arial"/>
                <w:color w:val="000000"/>
                <w:sz w:val="16"/>
                <w:szCs w:val="16"/>
                <w:lang w:eastAsia="bg-BG"/>
              </w:rPr>
              <w:t>егловен коефи</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 xml:space="preserve"> циент</w:t>
            </w:r>
          </w:p>
        </w:tc>
        <w:tc>
          <w:tcPr>
            <w:tcW w:w="385" w:type="pct"/>
            <w:tcBorders>
              <w:top w:val="nil"/>
              <w:left w:val="nil"/>
              <w:bottom w:val="single" w:sz="4" w:space="0" w:color="auto"/>
              <w:right w:val="single" w:sz="4" w:space="0" w:color="auto"/>
            </w:tcBorders>
            <w:shd w:val="clear" w:color="auto" w:fill="auto"/>
            <w:noWrap/>
            <w:vAlign w:val="center"/>
            <w:hideMark/>
          </w:tcPr>
          <w:p w:rsidR="00754199" w:rsidRPr="00DB0FE3" w:rsidRDefault="00754199" w:rsidP="00FE2DE9">
            <w:pPr>
              <w:ind w:left="-57"/>
              <w:jc w:val="center"/>
              <w:rPr>
                <w:rFonts w:ascii="Arial" w:hAnsi="Arial" w:cs="Arial"/>
                <w:color w:val="000000"/>
                <w:sz w:val="16"/>
                <w:szCs w:val="16"/>
                <w:lang w:eastAsia="bg-BG"/>
              </w:rPr>
            </w:pPr>
            <w:r w:rsidRPr="00DB0FE3">
              <w:rPr>
                <w:rFonts w:ascii="Arial" w:hAnsi="Arial" w:cs="Arial"/>
                <w:color w:val="000000"/>
                <w:sz w:val="16"/>
                <w:szCs w:val="16"/>
                <w:lang w:val="bg-BG" w:eastAsia="bg-BG"/>
              </w:rPr>
              <w:t>О</w:t>
            </w:r>
            <w:r w:rsidRPr="00DB0FE3">
              <w:rPr>
                <w:rFonts w:ascii="Arial" w:hAnsi="Arial" w:cs="Arial"/>
                <w:color w:val="000000"/>
                <w:sz w:val="16"/>
                <w:szCs w:val="16"/>
                <w:lang w:eastAsia="bg-BG"/>
              </w:rPr>
              <w:t>цен</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ка</w:t>
            </w:r>
          </w:p>
        </w:tc>
        <w:tc>
          <w:tcPr>
            <w:tcW w:w="673" w:type="pct"/>
            <w:tcBorders>
              <w:top w:val="nil"/>
              <w:left w:val="nil"/>
              <w:bottom w:val="single" w:sz="4" w:space="0" w:color="auto"/>
              <w:right w:val="single" w:sz="4" w:space="0" w:color="auto"/>
            </w:tcBorders>
            <w:shd w:val="clear" w:color="auto" w:fill="auto"/>
            <w:vAlign w:val="center"/>
            <w:hideMark/>
          </w:tcPr>
          <w:p w:rsidR="00754199" w:rsidRPr="00DB0FE3" w:rsidRDefault="00754199" w:rsidP="00FE2DE9">
            <w:pPr>
              <w:jc w:val="center"/>
              <w:rPr>
                <w:rFonts w:ascii="Arial" w:hAnsi="Arial" w:cs="Arial"/>
                <w:color w:val="000000"/>
                <w:sz w:val="16"/>
                <w:szCs w:val="16"/>
                <w:lang w:eastAsia="bg-BG"/>
              </w:rPr>
            </w:pPr>
            <w:r w:rsidRPr="00DB0FE3">
              <w:rPr>
                <w:rFonts w:ascii="Arial" w:hAnsi="Arial" w:cs="Arial"/>
                <w:color w:val="000000"/>
                <w:sz w:val="16"/>
                <w:szCs w:val="16"/>
                <w:lang w:val="bg-BG" w:eastAsia="bg-BG"/>
              </w:rPr>
              <w:t>Т</w:t>
            </w:r>
            <w:r w:rsidRPr="00DB0FE3">
              <w:rPr>
                <w:rFonts w:ascii="Arial" w:hAnsi="Arial" w:cs="Arial"/>
                <w:color w:val="000000"/>
                <w:sz w:val="16"/>
                <w:szCs w:val="16"/>
                <w:lang w:eastAsia="bg-BG"/>
              </w:rPr>
              <w:t>егловен коефи</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 xml:space="preserve"> циент</w:t>
            </w:r>
          </w:p>
        </w:tc>
        <w:tc>
          <w:tcPr>
            <w:tcW w:w="481" w:type="pct"/>
            <w:tcBorders>
              <w:top w:val="nil"/>
              <w:left w:val="nil"/>
              <w:bottom w:val="single" w:sz="4" w:space="0" w:color="auto"/>
              <w:right w:val="single" w:sz="4" w:space="0" w:color="auto"/>
            </w:tcBorders>
            <w:shd w:val="clear" w:color="auto" w:fill="auto"/>
            <w:noWrap/>
            <w:vAlign w:val="center"/>
            <w:hideMark/>
          </w:tcPr>
          <w:p w:rsidR="00754199" w:rsidRPr="00DB0FE3" w:rsidRDefault="00754199" w:rsidP="00FE2DE9">
            <w:pPr>
              <w:jc w:val="center"/>
              <w:rPr>
                <w:rFonts w:ascii="Arial" w:hAnsi="Arial" w:cs="Arial"/>
                <w:color w:val="000000"/>
                <w:sz w:val="16"/>
                <w:szCs w:val="16"/>
                <w:lang w:eastAsia="bg-BG"/>
              </w:rPr>
            </w:pPr>
            <w:r w:rsidRPr="00DB0FE3">
              <w:rPr>
                <w:rFonts w:ascii="Arial" w:hAnsi="Arial" w:cs="Arial"/>
                <w:color w:val="000000"/>
                <w:sz w:val="16"/>
                <w:szCs w:val="16"/>
                <w:lang w:val="bg-BG" w:eastAsia="bg-BG"/>
              </w:rPr>
              <w:t>О</w:t>
            </w:r>
            <w:r w:rsidRPr="00DB0FE3">
              <w:rPr>
                <w:rFonts w:ascii="Arial" w:hAnsi="Arial" w:cs="Arial"/>
                <w:color w:val="000000"/>
                <w:sz w:val="16"/>
                <w:szCs w:val="16"/>
                <w:lang w:eastAsia="bg-BG"/>
              </w:rPr>
              <w:t>цен</w:t>
            </w:r>
            <w:r w:rsidRPr="00DB0FE3">
              <w:rPr>
                <w:rFonts w:ascii="Arial" w:hAnsi="Arial" w:cs="Arial"/>
                <w:color w:val="000000"/>
                <w:sz w:val="16"/>
                <w:szCs w:val="16"/>
                <w:lang w:val="bg-BG" w:eastAsia="bg-BG"/>
              </w:rPr>
              <w:t>-</w:t>
            </w:r>
            <w:r w:rsidRPr="00DB0FE3">
              <w:rPr>
                <w:rFonts w:ascii="Arial" w:hAnsi="Arial" w:cs="Arial"/>
                <w:color w:val="000000"/>
                <w:sz w:val="16"/>
                <w:szCs w:val="16"/>
                <w:lang w:eastAsia="bg-BG"/>
              </w:rPr>
              <w:t xml:space="preserve"> ка</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Стара Загора</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0,11</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1,25</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0,17</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1,86</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0,04</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0,45</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0,18</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1,97</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Казанлък</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0,06</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0,79</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0,13</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1,45</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0,03</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0,3</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0,12</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1,29</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Раднево</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0,34</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3,72</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0,09</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1,03</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0,33</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3,64</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0,45</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4,93</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ind w:left="-57"/>
              <w:jc w:val="center"/>
              <w:rPr>
                <w:rFonts w:ascii="Arial" w:hAnsi="Arial" w:cs="Arial"/>
                <w:color w:val="000000"/>
                <w:sz w:val="18"/>
                <w:szCs w:val="18"/>
                <w:lang w:eastAsia="bg-BG"/>
              </w:rPr>
            </w:pPr>
            <w:r w:rsidRPr="0021625B">
              <w:rPr>
                <w:rFonts w:ascii="Arial" w:hAnsi="Arial" w:cs="Arial"/>
                <w:color w:val="000000"/>
                <w:sz w:val="18"/>
                <w:szCs w:val="18"/>
                <w:lang w:eastAsia="bg-BG"/>
              </w:rPr>
              <w:t>Гълъбово</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0,23</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2,54</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0,10</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1,1</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0,40</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4,42</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0,06</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0,67</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Чирпан</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0,04</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0,4</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0,08</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0,9</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0,02</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0,22</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0,03</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before="80" w:after="40"/>
              <w:jc w:val="center"/>
              <w:rPr>
                <w:rFonts w:ascii="Arial" w:hAnsi="Arial" w:cs="Arial"/>
                <w:color w:val="000000"/>
                <w:sz w:val="18"/>
                <w:szCs w:val="18"/>
                <w:lang w:eastAsia="bg-BG"/>
              </w:rPr>
            </w:pPr>
            <w:r w:rsidRPr="0021625B">
              <w:rPr>
                <w:rFonts w:ascii="Arial" w:hAnsi="Arial" w:cs="Arial"/>
                <w:color w:val="000000"/>
                <w:sz w:val="18"/>
                <w:szCs w:val="18"/>
                <w:lang w:eastAsia="bg-BG"/>
              </w:rPr>
              <w:t>0,28</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Павел Баня</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0,04</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0,4</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0,07</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0,83</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0,02</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0,26</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0,04</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0,48</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Гурково</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0,06</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0,64</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0,07</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0,79</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0,03</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0,36</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0,02</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0,21</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ind w:left="-57"/>
              <w:jc w:val="center"/>
              <w:rPr>
                <w:rFonts w:ascii="Arial" w:hAnsi="Arial" w:cs="Arial"/>
                <w:color w:val="000000"/>
                <w:sz w:val="18"/>
                <w:szCs w:val="18"/>
                <w:lang w:eastAsia="bg-BG"/>
              </w:rPr>
            </w:pPr>
            <w:r w:rsidRPr="0021625B">
              <w:rPr>
                <w:rFonts w:ascii="Arial" w:hAnsi="Arial" w:cs="Arial"/>
                <w:color w:val="000000"/>
                <w:sz w:val="18"/>
                <w:szCs w:val="18"/>
                <w:lang w:eastAsia="bg-BG"/>
              </w:rPr>
              <w:t>Николаево</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0,02</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0,18</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0,06</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0,62</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0,03</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0,27</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0,02</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0,27</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Мъглиж</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0,01</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0,16</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0,07</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0,79</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0,01</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0,08</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0,01</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0,09</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ind w:left="-57"/>
              <w:jc w:val="center"/>
              <w:rPr>
                <w:rFonts w:ascii="Arial" w:hAnsi="Arial" w:cs="Arial"/>
                <w:color w:val="000000"/>
                <w:sz w:val="18"/>
                <w:szCs w:val="18"/>
                <w:lang w:eastAsia="bg-BG"/>
              </w:rPr>
            </w:pPr>
            <w:r w:rsidRPr="0021625B">
              <w:rPr>
                <w:rFonts w:ascii="Arial" w:hAnsi="Arial" w:cs="Arial"/>
                <w:color w:val="000000"/>
                <w:sz w:val="18"/>
                <w:szCs w:val="18"/>
                <w:lang w:eastAsia="bg-BG"/>
              </w:rPr>
              <w:t>Братя Даскалови</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0,03</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0,31</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0,07</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0,72</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0,02</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0,18</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0,07</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80"/>
              <w:jc w:val="center"/>
              <w:rPr>
                <w:rFonts w:ascii="Arial" w:hAnsi="Arial" w:cs="Arial"/>
                <w:color w:val="000000"/>
                <w:sz w:val="18"/>
                <w:szCs w:val="18"/>
                <w:lang w:eastAsia="bg-BG"/>
              </w:rPr>
            </w:pPr>
            <w:r w:rsidRPr="0021625B">
              <w:rPr>
                <w:rFonts w:ascii="Arial" w:hAnsi="Arial" w:cs="Arial"/>
                <w:color w:val="000000"/>
                <w:sz w:val="18"/>
                <w:szCs w:val="18"/>
                <w:lang w:eastAsia="bg-BG"/>
              </w:rPr>
              <w:t>0,75</w:t>
            </w:r>
          </w:p>
        </w:tc>
      </w:tr>
      <w:tr w:rsidR="00754199" w:rsidRPr="00A57690" w:rsidTr="00EF03E1">
        <w:trPr>
          <w:trHeight w:val="307"/>
          <w:jc w:val="center"/>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754199" w:rsidRPr="0021625B" w:rsidRDefault="00754199" w:rsidP="00FE2DE9">
            <w:pPr>
              <w:jc w:val="center"/>
              <w:rPr>
                <w:rFonts w:ascii="Arial" w:hAnsi="Arial" w:cs="Arial"/>
                <w:color w:val="000000"/>
                <w:sz w:val="18"/>
                <w:szCs w:val="18"/>
                <w:lang w:eastAsia="bg-BG"/>
              </w:rPr>
            </w:pPr>
            <w:r w:rsidRPr="0021625B">
              <w:rPr>
                <w:rFonts w:ascii="Arial" w:hAnsi="Arial" w:cs="Arial"/>
                <w:color w:val="000000"/>
                <w:sz w:val="18"/>
                <w:szCs w:val="18"/>
                <w:lang w:eastAsia="bg-BG"/>
              </w:rPr>
              <w:t>Опан</w:t>
            </w:r>
          </w:p>
        </w:tc>
        <w:tc>
          <w:tcPr>
            <w:tcW w:w="67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0,05</w:t>
            </w:r>
          </w:p>
        </w:tc>
        <w:tc>
          <w:tcPr>
            <w:tcW w:w="386"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0,59</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0,09</w:t>
            </w:r>
          </w:p>
        </w:tc>
        <w:tc>
          <w:tcPr>
            <w:tcW w:w="384"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1</w:t>
            </w:r>
          </w:p>
        </w:tc>
        <w:tc>
          <w:tcPr>
            <w:tcW w:w="672"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0,07</w:t>
            </w:r>
          </w:p>
        </w:tc>
        <w:tc>
          <w:tcPr>
            <w:tcW w:w="385"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0,81</w:t>
            </w:r>
          </w:p>
        </w:tc>
        <w:tc>
          <w:tcPr>
            <w:tcW w:w="673"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0,01</w:t>
            </w:r>
          </w:p>
        </w:tc>
        <w:tc>
          <w:tcPr>
            <w:tcW w:w="48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spacing w:after="40"/>
              <w:jc w:val="center"/>
              <w:rPr>
                <w:rFonts w:ascii="Arial" w:hAnsi="Arial" w:cs="Arial"/>
                <w:color w:val="000000"/>
                <w:sz w:val="18"/>
                <w:szCs w:val="18"/>
                <w:lang w:eastAsia="bg-BG"/>
              </w:rPr>
            </w:pPr>
            <w:r w:rsidRPr="0021625B">
              <w:rPr>
                <w:rFonts w:ascii="Arial" w:hAnsi="Arial" w:cs="Arial"/>
                <w:color w:val="000000"/>
                <w:sz w:val="18"/>
                <w:szCs w:val="18"/>
                <w:lang w:eastAsia="bg-BG"/>
              </w:rPr>
              <w:t>0,05</w:t>
            </w:r>
          </w:p>
        </w:tc>
      </w:tr>
    </w:tbl>
    <w:p w:rsidR="00754199" w:rsidRDefault="00754199" w:rsidP="00754199">
      <w:pPr>
        <w:autoSpaceDE w:val="0"/>
        <w:autoSpaceDN w:val="0"/>
        <w:adjustRightInd w:val="0"/>
        <w:spacing w:before="360" w:after="120"/>
        <w:jc w:val="center"/>
        <w:rPr>
          <w:rFonts w:ascii="Arial" w:hAnsi="Arial" w:cs="Arial"/>
          <w:iCs/>
          <w:sz w:val="20"/>
          <w:szCs w:val="20"/>
          <w:lang w:val="bg-BG"/>
        </w:rPr>
      </w:pPr>
      <w:r w:rsidRPr="002C297B">
        <w:rPr>
          <w:rFonts w:ascii="Arial" w:hAnsi="Arial" w:cs="Arial"/>
          <w:b/>
          <w:iCs/>
          <w:sz w:val="20"/>
          <w:szCs w:val="20"/>
        </w:rPr>
        <w:t>Таблица 4</w:t>
      </w:r>
      <w:r>
        <w:rPr>
          <w:rFonts w:ascii="Arial" w:hAnsi="Arial" w:cs="Arial"/>
          <w:b/>
          <w:iCs/>
          <w:sz w:val="20"/>
          <w:szCs w:val="20"/>
          <w:lang w:val="bg-BG"/>
        </w:rPr>
        <w:t>.</w:t>
      </w:r>
      <w:r w:rsidRPr="002C297B">
        <w:rPr>
          <w:rFonts w:ascii="Arial" w:hAnsi="Arial" w:cs="Arial"/>
          <w:b/>
          <w:iCs/>
          <w:sz w:val="20"/>
          <w:szCs w:val="20"/>
        </w:rPr>
        <w:t xml:space="preserve"> </w:t>
      </w:r>
      <w:r w:rsidRPr="0021625B">
        <w:rPr>
          <w:rFonts w:ascii="Arial" w:hAnsi="Arial" w:cs="Arial"/>
          <w:iCs/>
          <w:sz w:val="20"/>
          <w:szCs w:val="20"/>
        </w:rPr>
        <w:t>Рейтинг на общините от област Стара Загора</w:t>
      </w:r>
    </w:p>
    <w:tbl>
      <w:tblPr>
        <w:tblW w:w="4911" w:type="pct"/>
        <w:jc w:val="center"/>
        <w:tblInd w:w="8" w:type="dxa"/>
        <w:tblCellMar>
          <w:left w:w="70" w:type="dxa"/>
          <w:right w:w="70" w:type="dxa"/>
        </w:tblCellMar>
        <w:tblLook w:val="04A0" w:firstRow="1" w:lastRow="0" w:firstColumn="1" w:lastColumn="0" w:noHBand="0" w:noVBand="1"/>
      </w:tblPr>
      <w:tblGrid>
        <w:gridCol w:w="741"/>
        <w:gridCol w:w="3301"/>
        <w:gridCol w:w="3334"/>
      </w:tblGrid>
      <w:tr w:rsidR="00754199" w:rsidRPr="0021625B" w:rsidTr="00931CCF">
        <w:trPr>
          <w:trHeight w:val="289"/>
          <w:jc w:val="center"/>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w:t>
            </w:r>
          </w:p>
        </w:tc>
        <w:tc>
          <w:tcPr>
            <w:tcW w:w="2238" w:type="pct"/>
            <w:tcBorders>
              <w:top w:val="single" w:sz="4" w:space="0" w:color="auto"/>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Pr>
                <w:rFonts w:ascii="Arial" w:hAnsi="Arial" w:cs="Arial"/>
                <w:color w:val="000000"/>
                <w:sz w:val="20"/>
                <w:szCs w:val="20"/>
                <w:lang w:val="bg-BG" w:eastAsia="bg-BG"/>
              </w:rPr>
              <w:t>О</w:t>
            </w:r>
            <w:r w:rsidRPr="0021625B">
              <w:rPr>
                <w:rFonts w:ascii="Arial" w:hAnsi="Arial" w:cs="Arial"/>
                <w:color w:val="000000"/>
                <w:sz w:val="20"/>
                <w:szCs w:val="20"/>
                <w:lang w:eastAsia="bg-BG"/>
              </w:rPr>
              <w:t>бщина</w:t>
            </w:r>
          </w:p>
        </w:tc>
        <w:tc>
          <w:tcPr>
            <w:tcW w:w="2261" w:type="pct"/>
            <w:tcBorders>
              <w:top w:val="single" w:sz="4" w:space="0" w:color="auto"/>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Pr>
                <w:rFonts w:ascii="Arial" w:hAnsi="Arial" w:cs="Arial"/>
                <w:color w:val="000000"/>
                <w:sz w:val="20"/>
                <w:szCs w:val="20"/>
                <w:lang w:val="bg-BG" w:eastAsia="bg-BG"/>
              </w:rPr>
              <w:t>О</w:t>
            </w:r>
            <w:r w:rsidRPr="0021625B">
              <w:rPr>
                <w:rFonts w:ascii="Arial" w:hAnsi="Arial" w:cs="Arial"/>
                <w:color w:val="000000"/>
                <w:sz w:val="20"/>
                <w:szCs w:val="20"/>
                <w:lang w:eastAsia="bg-BG"/>
              </w:rPr>
              <w:t>бобщена оценка</w:t>
            </w:r>
          </w:p>
        </w:tc>
      </w:tr>
      <w:tr w:rsidR="00754199" w:rsidRPr="0021625B" w:rsidTr="00931CCF">
        <w:trPr>
          <w:trHeight w:val="289"/>
          <w:jc w:val="center"/>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1.</w:t>
            </w:r>
          </w:p>
        </w:tc>
        <w:tc>
          <w:tcPr>
            <w:tcW w:w="2238" w:type="pct"/>
            <w:tcBorders>
              <w:top w:val="single" w:sz="4" w:space="0" w:color="auto"/>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Раднево</w:t>
            </w:r>
          </w:p>
        </w:tc>
        <w:tc>
          <w:tcPr>
            <w:tcW w:w="2261" w:type="pct"/>
            <w:tcBorders>
              <w:top w:val="single" w:sz="4" w:space="0" w:color="auto"/>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4,7660</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2.</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Гълъбово</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2,5154</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3.</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Стара Загора</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0,8249</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4.</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Казанлък</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0,3951</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5.</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Опан</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0,1821</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6.</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Братя Даскалови</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0,1100</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7.</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Гурково</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0,1098</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8.</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Павел Баня</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0,1037</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9.</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Чирпан</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0,0988</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10.</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Мъглиж</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0,0601</w:t>
            </w:r>
          </w:p>
        </w:tc>
      </w:tr>
      <w:tr w:rsidR="00754199" w:rsidRPr="0021625B" w:rsidTr="00931CCF">
        <w:trPr>
          <w:trHeight w:val="289"/>
          <w:jc w:val="center"/>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11.</w:t>
            </w:r>
          </w:p>
        </w:tc>
        <w:tc>
          <w:tcPr>
            <w:tcW w:w="2238"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Николаево</w:t>
            </w:r>
          </w:p>
        </w:tc>
        <w:tc>
          <w:tcPr>
            <w:tcW w:w="2261" w:type="pct"/>
            <w:tcBorders>
              <w:top w:val="nil"/>
              <w:left w:val="nil"/>
              <w:bottom w:val="single" w:sz="4" w:space="0" w:color="auto"/>
              <w:right w:val="single" w:sz="4" w:space="0" w:color="auto"/>
            </w:tcBorders>
            <w:shd w:val="clear" w:color="auto" w:fill="auto"/>
            <w:noWrap/>
            <w:vAlign w:val="bottom"/>
            <w:hideMark/>
          </w:tcPr>
          <w:p w:rsidR="00754199" w:rsidRPr="0021625B" w:rsidRDefault="00754199" w:rsidP="00FE2DE9">
            <w:pPr>
              <w:jc w:val="center"/>
              <w:rPr>
                <w:rFonts w:ascii="Arial" w:hAnsi="Arial" w:cs="Arial"/>
                <w:color w:val="000000"/>
                <w:sz w:val="20"/>
                <w:szCs w:val="20"/>
                <w:lang w:eastAsia="bg-BG"/>
              </w:rPr>
            </w:pPr>
            <w:r w:rsidRPr="0021625B">
              <w:rPr>
                <w:rFonts w:ascii="Arial" w:hAnsi="Arial" w:cs="Arial"/>
                <w:color w:val="000000"/>
                <w:sz w:val="20"/>
                <w:szCs w:val="20"/>
                <w:lang w:eastAsia="bg-BG"/>
              </w:rPr>
              <w:t>0,0510</w:t>
            </w:r>
          </w:p>
        </w:tc>
      </w:tr>
    </w:tbl>
    <w:p w:rsidR="00754199" w:rsidRDefault="00754199" w:rsidP="00754199">
      <w:pPr>
        <w:autoSpaceDE w:val="0"/>
        <w:autoSpaceDN w:val="0"/>
        <w:adjustRightInd w:val="0"/>
        <w:jc w:val="center"/>
        <w:rPr>
          <w:rFonts w:ascii="Arial" w:hAnsi="Arial" w:cs="Arial"/>
          <w:b/>
          <w:iCs/>
          <w:caps/>
          <w:sz w:val="20"/>
          <w:szCs w:val="20"/>
          <w:lang w:val="en-US"/>
        </w:rPr>
      </w:pPr>
    </w:p>
    <w:p w:rsidR="00966BB5" w:rsidRPr="00966BB5" w:rsidRDefault="00966BB5" w:rsidP="00754199">
      <w:pPr>
        <w:autoSpaceDE w:val="0"/>
        <w:autoSpaceDN w:val="0"/>
        <w:adjustRightInd w:val="0"/>
        <w:jc w:val="center"/>
        <w:rPr>
          <w:rFonts w:ascii="Arial" w:hAnsi="Arial" w:cs="Arial"/>
          <w:b/>
          <w:iCs/>
          <w:caps/>
          <w:sz w:val="20"/>
          <w:szCs w:val="20"/>
          <w:lang w:val="en-US"/>
        </w:rPr>
      </w:pPr>
    </w:p>
    <w:p w:rsidR="00754199" w:rsidRPr="00AD3984" w:rsidRDefault="00754199" w:rsidP="00754199">
      <w:pPr>
        <w:autoSpaceDE w:val="0"/>
        <w:autoSpaceDN w:val="0"/>
        <w:adjustRightInd w:val="0"/>
        <w:jc w:val="center"/>
        <w:rPr>
          <w:rFonts w:ascii="Arial" w:hAnsi="Arial" w:cs="Arial"/>
          <w:iCs/>
          <w:caps/>
          <w:sz w:val="20"/>
          <w:szCs w:val="20"/>
        </w:rPr>
      </w:pPr>
      <w:r w:rsidRPr="00AD3984">
        <w:rPr>
          <w:rFonts w:ascii="Arial" w:hAnsi="Arial" w:cs="Arial"/>
          <w:b/>
          <w:iCs/>
          <w:caps/>
          <w:sz w:val="20"/>
          <w:szCs w:val="20"/>
        </w:rPr>
        <w:lastRenderedPageBreak/>
        <w:t>Изводи</w:t>
      </w:r>
    </w:p>
    <w:p w:rsidR="00754199" w:rsidRPr="000F2DA5" w:rsidRDefault="00754199" w:rsidP="00754199">
      <w:pPr>
        <w:ind w:firstLine="680"/>
        <w:jc w:val="both"/>
        <w:rPr>
          <w:rFonts w:ascii="Arial" w:hAnsi="Arial" w:cs="Arial"/>
          <w:sz w:val="20"/>
          <w:szCs w:val="20"/>
          <w:lang w:val="bg-BG"/>
        </w:rPr>
      </w:pPr>
      <w:r w:rsidRPr="00377F3D">
        <w:rPr>
          <w:rFonts w:ascii="Arial" w:hAnsi="Arial" w:cs="Arial"/>
          <w:sz w:val="20"/>
          <w:szCs w:val="20"/>
        </w:rPr>
        <w:t>Въз основа на приложения метод на изследване е направен сравнителен анализ на общините от област Стара Загора, като е разкрит не само потенциал</w:t>
      </w:r>
      <w:r>
        <w:rPr>
          <w:rFonts w:ascii="Arial" w:hAnsi="Arial" w:cs="Arial"/>
          <w:sz w:val="20"/>
          <w:szCs w:val="20"/>
          <w:lang w:val="bg-BG"/>
        </w:rPr>
        <w:t>ът</w:t>
      </w:r>
      <w:r w:rsidRPr="00377F3D">
        <w:rPr>
          <w:rFonts w:ascii="Arial" w:hAnsi="Arial" w:cs="Arial"/>
          <w:sz w:val="20"/>
          <w:szCs w:val="20"/>
        </w:rPr>
        <w:t xml:space="preserve"> за икономическа подкрепа на населението, но са изведени и направленията</w:t>
      </w:r>
      <w:r>
        <w:rPr>
          <w:rFonts w:ascii="Arial" w:hAnsi="Arial" w:cs="Arial"/>
          <w:sz w:val="20"/>
          <w:szCs w:val="20"/>
          <w:lang w:val="bg-BG"/>
        </w:rPr>
        <w:t>,</w:t>
      </w:r>
      <w:r w:rsidRPr="00377F3D">
        <w:rPr>
          <w:rFonts w:ascii="Arial" w:hAnsi="Arial" w:cs="Arial"/>
          <w:sz w:val="20"/>
          <w:szCs w:val="20"/>
        </w:rPr>
        <w:t xml:space="preserve"> в които всяка община има предимство или проблеми. Резултатите от изследването дават основание да бъдат направени </w:t>
      </w:r>
      <w:r>
        <w:rPr>
          <w:rFonts w:ascii="Arial" w:hAnsi="Arial" w:cs="Arial"/>
          <w:sz w:val="20"/>
          <w:szCs w:val="20"/>
        </w:rPr>
        <w:t>следните по-важни изводи:</w:t>
      </w:r>
    </w:p>
    <w:p w:rsidR="00754199" w:rsidRPr="009B78FE" w:rsidRDefault="00754199" w:rsidP="00754199">
      <w:pPr>
        <w:pStyle w:val="ListParagraph"/>
        <w:numPr>
          <w:ilvl w:val="0"/>
          <w:numId w:val="1"/>
        </w:numPr>
        <w:contextualSpacing/>
        <w:jc w:val="both"/>
        <w:rPr>
          <w:rFonts w:ascii="Arial" w:hAnsi="Arial" w:cs="Arial"/>
          <w:sz w:val="20"/>
          <w:szCs w:val="20"/>
        </w:rPr>
      </w:pPr>
      <w:r w:rsidRPr="00377F3D">
        <w:rPr>
          <w:rFonts w:ascii="Arial" w:hAnsi="Arial" w:cs="Arial"/>
          <w:sz w:val="20"/>
          <w:szCs w:val="20"/>
        </w:rPr>
        <w:t>малко на брой общини имат принос за постигнатите високи икономически резултати на областно ниво;</w:t>
      </w:r>
    </w:p>
    <w:p w:rsidR="00754199" w:rsidRPr="00377F3D" w:rsidRDefault="00754199" w:rsidP="00754199">
      <w:pPr>
        <w:pStyle w:val="ListParagraph"/>
        <w:numPr>
          <w:ilvl w:val="0"/>
          <w:numId w:val="1"/>
        </w:numPr>
        <w:contextualSpacing/>
        <w:jc w:val="both"/>
        <w:rPr>
          <w:rFonts w:ascii="Arial" w:hAnsi="Arial" w:cs="Arial"/>
          <w:sz w:val="20"/>
          <w:szCs w:val="20"/>
        </w:rPr>
      </w:pPr>
      <w:r w:rsidRPr="00377F3D">
        <w:rPr>
          <w:rFonts w:ascii="Arial" w:hAnsi="Arial" w:cs="Arial"/>
          <w:sz w:val="20"/>
          <w:szCs w:val="20"/>
        </w:rPr>
        <w:t>взаимното влияние между общините има ограничен териториален аспект;</w:t>
      </w:r>
    </w:p>
    <w:p w:rsidR="00754199" w:rsidRPr="00377F3D" w:rsidRDefault="00754199" w:rsidP="00754199">
      <w:pPr>
        <w:pStyle w:val="ListParagraph"/>
        <w:numPr>
          <w:ilvl w:val="0"/>
          <w:numId w:val="1"/>
        </w:numPr>
        <w:contextualSpacing/>
        <w:jc w:val="both"/>
        <w:rPr>
          <w:rFonts w:ascii="Arial" w:hAnsi="Arial" w:cs="Arial"/>
          <w:sz w:val="20"/>
          <w:szCs w:val="20"/>
        </w:rPr>
      </w:pPr>
      <w:r w:rsidRPr="00377F3D">
        <w:rPr>
          <w:rFonts w:ascii="Arial" w:hAnsi="Arial" w:cs="Arial"/>
          <w:sz w:val="20"/>
          <w:szCs w:val="20"/>
        </w:rPr>
        <w:t>водещите общини не успяват да предизвикат значими ефекти в останалите общини;</w:t>
      </w:r>
    </w:p>
    <w:p w:rsidR="00754199" w:rsidRPr="00377F3D" w:rsidRDefault="00754199" w:rsidP="00754199">
      <w:pPr>
        <w:pStyle w:val="ListParagraph"/>
        <w:numPr>
          <w:ilvl w:val="0"/>
          <w:numId w:val="1"/>
        </w:numPr>
        <w:contextualSpacing/>
        <w:jc w:val="both"/>
        <w:rPr>
          <w:rFonts w:ascii="Arial" w:hAnsi="Arial" w:cs="Arial"/>
          <w:sz w:val="20"/>
          <w:szCs w:val="20"/>
        </w:rPr>
      </w:pPr>
      <w:r>
        <w:rPr>
          <w:rFonts w:ascii="Arial" w:hAnsi="Arial" w:cs="Arial"/>
          <w:sz w:val="20"/>
          <w:szCs w:val="20"/>
        </w:rPr>
        <w:t>на</w:t>
      </w:r>
      <w:r w:rsidRPr="00377F3D">
        <w:rPr>
          <w:rFonts w:ascii="Arial" w:hAnsi="Arial" w:cs="Arial"/>
          <w:sz w:val="20"/>
          <w:szCs w:val="20"/>
        </w:rPr>
        <w:t>лице е небалансирана структура на икономиче</w:t>
      </w:r>
      <w:r>
        <w:rPr>
          <w:rFonts w:ascii="Arial" w:hAnsi="Arial" w:cs="Arial"/>
          <w:sz w:val="20"/>
          <w:szCs w:val="20"/>
        </w:rPr>
        <w:t>ска подкрепа в рамките на</w:t>
      </w:r>
      <w:r w:rsidRPr="00377F3D">
        <w:rPr>
          <w:rFonts w:ascii="Arial" w:hAnsi="Arial" w:cs="Arial"/>
          <w:sz w:val="20"/>
          <w:szCs w:val="20"/>
        </w:rPr>
        <w:t xml:space="preserve"> област Стара Загора;  </w:t>
      </w:r>
    </w:p>
    <w:p w:rsidR="00754199" w:rsidRPr="00377F3D" w:rsidRDefault="00754199" w:rsidP="00754199">
      <w:pPr>
        <w:pStyle w:val="ListParagraph"/>
        <w:numPr>
          <w:ilvl w:val="0"/>
          <w:numId w:val="1"/>
        </w:numPr>
        <w:contextualSpacing/>
        <w:jc w:val="both"/>
        <w:rPr>
          <w:rFonts w:ascii="Arial" w:hAnsi="Arial" w:cs="Arial"/>
          <w:sz w:val="20"/>
          <w:szCs w:val="20"/>
        </w:rPr>
      </w:pPr>
      <w:r w:rsidRPr="00377F3D">
        <w:rPr>
          <w:rFonts w:ascii="Arial" w:hAnsi="Arial" w:cs="Arial"/>
          <w:sz w:val="20"/>
          <w:szCs w:val="20"/>
        </w:rPr>
        <w:t>големите бизнес структури имат водещо значение за формиране на силна икономическа подкрепа за населението;</w:t>
      </w:r>
    </w:p>
    <w:p w:rsidR="00754199" w:rsidRPr="00377F3D" w:rsidRDefault="00754199" w:rsidP="00754199">
      <w:pPr>
        <w:pStyle w:val="ListParagraph"/>
        <w:numPr>
          <w:ilvl w:val="0"/>
          <w:numId w:val="1"/>
        </w:numPr>
        <w:contextualSpacing/>
        <w:jc w:val="both"/>
        <w:rPr>
          <w:rFonts w:ascii="Arial" w:hAnsi="Arial" w:cs="Arial"/>
          <w:sz w:val="20"/>
          <w:szCs w:val="20"/>
        </w:rPr>
      </w:pPr>
      <w:r w:rsidRPr="00377F3D">
        <w:rPr>
          <w:rFonts w:ascii="Arial" w:hAnsi="Arial" w:cs="Arial"/>
          <w:sz w:val="20"/>
          <w:szCs w:val="20"/>
        </w:rPr>
        <w:t>големият брой население не е достатъчен фактор, който да гарантира икономическата активност на общинско ниво;</w:t>
      </w:r>
    </w:p>
    <w:p w:rsidR="00754199" w:rsidRPr="00377F3D" w:rsidRDefault="00754199" w:rsidP="00754199">
      <w:pPr>
        <w:pStyle w:val="ListParagraph"/>
        <w:numPr>
          <w:ilvl w:val="0"/>
          <w:numId w:val="1"/>
        </w:numPr>
        <w:contextualSpacing/>
        <w:jc w:val="both"/>
        <w:rPr>
          <w:rFonts w:ascii="Arial" w:hAnsi="Arial" w:cs="Arial"/>
          <w:sz w:val="20"/>
          <w:szCs w:val="20"/>
        </w:rPr>
      </w:pPr>
      <w:r w:rsidRPr="00377F3D">
        <w:rPr>
          <w:rFonts w:ascii="Arial" w:hAnsi="Arial" w:cs="Arial"/>
          <w:sz w:val="20"/>
          <w:szCs w:val="20"/>
        </w:rPr>
        <w:t xml:space="preserve">местната власт не успява да компенсира по-слабите резултати на бизнеса. </w:t>
      </w:r>
    </w:p>
    <w:p w:rsidR="00754199" w:rsidRDefault="00754199" w:rsidP="00754199">
      <w:pPr>
        <w:ind w:firstLine="680"/>
        <w:jc w:val="both"/>
        <w:rPr>
          <w:rFonts w:ascii="Arial" w:hAnsi="Arial" w:cs="Arial"/>
          <w:sz w:val="20"/>
          <w:szCs w:val="20"/>
        </w:rPr>
      </w:pPr>
      <w:r w:rsidRPr="00377F3D">
        <w:rPr>
          <w:rFonts w:ascii="Arial" w:hAnsi="Arial" w:cs="Arial"/>
          <w:sz w:val="20"/>
          <w:szCs w:val="20"/>
        </w:rPr>
        <w:t>Резултатите от изследването показват много големи различия в стойностите на показателите по общини. Това определя небалансирано териториално развитие дори в относително малки територии</w:t>
      </w:r>
      <w:r>
        <w:rPr>
          <w:rFonts w:ascii="Arial" w:hAnsi="Arial" w:cs="Arial"/>
          <w:sz w:val="20"/>
          <w:szCs w:val="20"/>
          <w:lang w:val="bg-BG"/>
        </w:rPr>
        <w:t>,</w:t>
      </w:r>
      <w:r w:rsidRPr="00377F3D">
        <w:rPr>
          <w:rFonts w:ascii="Arial" w:hAnsi="Arial" w:cs="Arial"/>
          <w:sz w:val="20"/>
          <w:szCs w:val="20"/>
        </w:rPr>
        <w:t xml:space="preserve"> каквито са областите. Провеждането на едно по-детайлно изследване може да даде отговор на въпроса как да се използва потенциал</w:t>
      </w:r>
      <w:r>
        <w:rPr>
          <w:rFonts w:ascii="Arial" w:hAnsi="Arial" w:cs="Arial"/>
          <w:sz w:val="20"/>
          <w:szCs w:val="20"/>
          <w:lang w:val="bg-BG"/>
        </w:rPr>
        <w:t>ът</w:t>
      </w:r>
      <w:r w:rsidRPr="00377F3D">
        <w:rPr>
          <w:rFonts w:ascii="Arial" w:hAnsi="Arial" w:cs="Arial"/>
          <w:sz w:val="20"/>
          <w:szCs w:val="20"/>
        </w:rPr>
        <w:t xml:space="preserve"> на дадена община за стимулиране на развитието на останалите и постигане на синергични ефекти. </w:t>
      </w:r>
    </w:p>
    <w:p w:rsidR="00754199" w:rsidRDefault="00754199" w:rsidP="00931CCF">
      <w:pPr>
        <w:autoSpaceDE w:val="0"/>
        <w:autoSpaceDN w:val="0"/>
        <w:adjustRightInd w:val="0"/>
        <w:jc w:val="center"/>
        <w:rPr>
          <w:rFonts w:ascii="Arial" w:hAnsi="Arial" w:cs="Arial"/>
          <w:b/>
          <w:iCs/>
          <w:caps/>
          <w:sz w:val="20"/>
          <w:szCs w:val="20"/>
          <w:lang w:val="bg-BG"/>
        </w:rPr>
      </w:pPr>
    </w:p>
    <w:p w:rsidR="00754199" w:rsidRPr="001103D7" w:rsidRDefault="00754199" w:rsidP="00FE2DE9">
      <w:pPr>
        <w:autoSpaceDE w:val="0"/>
        <w:autoSpaceDN w:val="0"/>
        <w:adjustRightInd w:val="0"/>
        <w:spacing w:after="120"/>
        <w:ind w:left="709" w:hanging="709"/>
        <w:jc w:val="center"/>
        <w:rPr>
          <w:rFonts w:ascii="Arial" w:hAnsi="Arial" w:cs="Arial"/>
          <w:b/>
          <w:iCs/>
          <w:caps/>
          <w:sz w:val="20"/>
          <w:szCs w:val="20"/>
        </w:rPr>
      </w:pPr>
      <w:r w:rsidRPr="001103D7">
        <w:rPr>
          <w:rFonts w:ascii="Arial" w:hAnsi="Arial" w:cs="Arial"/>
          <w:b/>
          <w:iCs/>
          <w:caps/>
          <w:sz w:val="20"/>
          <w:szCs w:val="20"/>
          <w:lang w:val="en-US"/>
        </w:rPr>
        <w:t>REFERENCES</w:t>
      </w:r>
    </w:p>
    <w:p w:rsidR="00754199" w:rsidRPr="00A57690" w:rsidRDefault="00754199" w:rsidP="00FE2DE9">
      <w:pPr>
        <w:ind w:left="709" w:hanging="709"/>
        <w:jc w:val="both"/>
        <w:rPr>
          <w:rFonts w:ascii="Arial" w:hAnsi="Arial" w:cs="Arial"/>
          <w:sz w:val="20"/>
          <w:szCs w:val="20"/>
        </w:rPr>
      </w:pPr>
      <w:r w:rsidRPr="0021786E">
        <w:rPr>
          <w:rFonts w:ascii="Arial" w:hAnsi="Arial" w:cs="Arial"/>
          <w:i/>
          <w:sz w:val="20"/>
          <w:szCs w:val="20"/>
          <w:lang w:val="en-US"/>
        </w:rPr>
        <w:t>Aleksiev</w:t>
      </w:r>
      <w:r w:rsidRPr="0021786E">
        <w:rPr>
          <w:rFonts w:ascii="Arial" w:hAnsi="Arial" w:cs="Arial"/>
          <w:i/>
          <w:sz w:val="20"/>
          <w:szCs w:val="20"/>
        </w:rPr>
        <w:t xml:space="preserve">, </w:t>
      </w:r>
      <w:r>
        <w:rPr>
          <w:rFonts w:ascii="Arial" w:hAnsi="Arial" w:cs="Arial"/>
          <w:i/>
          <w:sz w:val="20"/>
          <w:szCs w:val="20"/>
          <w:lang w:val="en-US"/>
        </w:rPr>
        <w:t>Y</w:t>
      </w:r>
      <w:r w:rsidRPr="0021786E">
        <w:rPr>
          <w:rFonts w:ascii="Arial" w:hAnsi="Arial" w:cs="Arial"/>
          <w:i/>
          <w:sz w:val="20"/>
          <w:szCs w:val="20"/>
        </w:rPr>
        <w:t xml:space="preserve">., </w:t>
      </w:r>
      <w:r w:rsidRPr="0021786E">
        <w:rPr>
          <w:rFonts w:ascii="Arial" w:hAnsi="Arial" w:cs="Arial"/>
          <w:i/>
          <w:sz w:val="20"/>
          <w:szCs w:val="20"/>
          <w:lang w:val="en-US"/>
        </w:rPr>
        <w:t>V</w:t>
      </w:r>
      <w:r w:rsidRPr="0021786E">
        <w:rPr>
          <w:rFonts w:ascii="Arial" w:hAnsi="Arial" w:cs="Arial"/>
          <w:i/>
          <w:sz w:val="20"/>
          <w:szCs w:val="20"/>
        </w:rPr>
        <w:t xml:space="preserve">. </w:t>
      </w:r>
      <w:r w:rsidRPr="0021786E">
        <w:rPr>
          <w:rFonts w:ascii="Arial" w:hAnsi="Arial" w:cs="Arial"/>
          <w:i/>
          <w:sz w:val="20"/>
          <w:szCs w:val="20"/>
          <w:lang w:val="en-US"/>
        </w:rPr>
        <w:t>Trichkov</w:t>
      </w:r>
      <w:r w:rsidRPr="0021786E">
        <w:rPr>
          <w:rFonts w:ascii="Arial" w:hAnsi="Arial" w:cs="Arial"/>
          <w:i/>
          <w:sz w:val="20"/>
          <w:szCs w:val="20"/>
        </w:rPr>
        <w:t xml:space="preserve">, </w:t>
      </w:r>
      <w:r w:rsidRPr="0021786E">
        <w:rPr>
          <w:rFonts w:ascii="Arial" w:hAnsi="Arial" w:cs="Arial"/>
          <w:i/>
          <w:sz w:val="20"/>
          <w:szCs w:val="20"/>
          <w:lang w:val="en-US"/>
        </w:rPr>
        <w:t>G</w:t>
      </w:r>
      <w:r w:rsidRPr="0021786E">
        <w:rPr>
          <w:rFonts w:ascii="Arial" w:hAnsi="Arial" w:cs="Arial"/>
          <w:i/>
          <w:sz w:val="20"/>
          <w:szCs w:val="20"/>
        </w:rPr>
        <w:t xml:space="preserve">. </w:t>
      </w:r>
      <w:r w:rsidRPr="0021786E">
        <w:rPr>
          <w:rFonts w:ascii="Arial" w:hAnsi="Arial" w:cs="Arial"/>
          <w:i/>
          <w:sz w:val="20"/>
          <w:szCs w:val="20"/>
          <w:lang w:val="en-US"/>
        </w:rPr>
        <w:t>Vuldgev</w:t>
      </w:r>
      <w:r>
        <w:rPr>
          <w:rFonts w:ascii="Arial" w:hAnsi="Arial" w:cs="Arial"/>
          <w:sz w:val="20"/>
          <w:szCs w:val="20"/>
          <w:lang w:val="bg-BG"/>
        </w:rPr>
        <w:t>, 2013.</w:t>
      </w:r>
      <w:r w:rsidRPr="00A57690">
        <w:rPr>
          <w:rFonts w:ascii="Arial" w:hAnsi="Arial" w:cs="Arial"/>
          <w:sz w:val="20"/>
          <w:szCs w:val="20"/>
        </w:rPr>
        <w:t xml:space="preserve"> </w:t>
      </w:r>
      <w:r w:rsidRPr="00A57690">
        <w:rPr>
          <w:rFonts w:ascii="Arial" w:hAnsi="Arial" w:cs="Arial"/>
          <w:sz w:val="20"/>
          <w:szCs w:val="20"/>
          <w:lang w:val="en-US"/>
        </w:rPr>
        <w:t>Koi oblasti I obs</w:t>
      </w:r>
      <w:r>
        <w:rPr>
          <w:rFonts w:ascii="Arial" w:hAnsi="Arial" w:cs="Arial"/>
          <w:sz w:val="20"/>
          <w:szCs w:val="20"/>
          <w:lang w:val="en-US"/>
        </w:rPr>
        <w:t>h</w:t>
      </w:r>
      <w:r w:rsidRPr="00A57690">
        <w:rPr>
          <w:rFonts w:ascii="Arial" w:hAnsi="Arial" w:cs="Arial"/>
          <w:sz w:val="20"/>
          <w:szCs w:val="20"/>
          <w:lang w:val="en-US"/>
        </w:rPr>
        <w:t>tini usvoyavat nay-mnogo evropeyski sredstva</w:t>
      </w:r>
      <w:r w:rsidRPr="00A57690">
        <w:rPr>
          <w:rFonts w:ascii="Arial" w:hAnsi="Arial" w:cs="Arial"/>
          <w:sz w:val="20"/>
          <w:szCs w:val="20"/>
        </w:rPr>
        <w:t>. http://www.regionalprofiles.bg/bg/news/eu-f/</w:t>
      </w:r>
    </w:p>
    <w:p w:rsidR="00754199" w:rsidRPr="00A57690" w:rsidRDefault="00754199" w:rsidP="00FE2DE9">
      <w:pPr>
        <w:ind w:left="709" w:hanging="709"/>
        <w:jc w:val="both"/>
        <w:rPr>
          <w:rFonts w:ascii="Arial" w:hAnsi="Arial" w:cs="Arial"/>
          <w:sz w:val="20"/>
          <w:szCs w:val="20"/>
        </w:rPr>
      </w:pPr>
      <w:r w:rsidRPr="0021786E">
        <w:rPr>
          <w:rFonts w:ascii="Arial" w:hAnsi="Arial" w:cs="Arial"/>
          <w:i/>
          <w:sz w:val="20"/>
          <w:szCs w:val="20"/>
          <w:lang w:val="en-US"/>
        </w:rPr>
        <w:t>Dirimanova, V.</w:t>
      </w:r>
      <w:r>
        <w:rPr>
          <w:rFonts w:ascii="Arial" w:hAnsi="Arial" w:cs="Arial"/>
          <w:i/>
          <w:sz w:val="20"/>
          <w:szCs w:val="20"/>
          <w:lang w:val="bg-BG"/>
        </w:rPr>
        <w:t>,</w:t>
      </w:r>
      <w:r w:rsidRPr="0021786E">
        <w:rPr>
          <w:rFonts w:ascii="Arial" w:hAnsi="Arial" w:cs="Arial"/>
          <w:i/>
          <w:sz w:val="20"/>
          <w:szCs w:val="20"/>
          <w:lang w:val="en-US"/>
        </w:rPr>
        <w:t xml:space="preserve"> </w:t>
      </w:r>
      <w:r w:rsidRPr="00A57690">
        <w:rPr>
          <w:rFonts w:ascii="Arial" w:hAnsi="Arial" w:cs="Arial"/>
          <w:sz w:val="20"/>
          <w:szCs w:val="20"/>
          <w:lang w:val="en-US"/>
        </w:rPr>
        <w:t>2013. Multifunctional Measures in the Rural dev</w:t>
      </w:r>
      <w:r>
        <w:rPr>
          <w:rFonts w:ascii="Arial" w:hAnsi="Arial" w:cs="Arial"/>
          <w:sz w:val="20"/>
          <w:szCs w:val="20"/>
          <w:lang w:val="en-US"/>
        </w:rPr>
        <w:t>elopment programme. Scientific W</w:t>
      </w:r>
      <w:r w:rsidRPr="00A57690">
        <w:rPr>
          <w:rFonts w:ascii="Arial" w:hAnsi="Arial" w:cs="Arial"/>
          <w:sz w:val="20"/>
          <w:szCs w:val="20"/>
          <w:lang w:val="en-US"/>
        </w:rPr>
        <w:t xml:space="preserve">orks, AU </w:t>
      </w:r>
      <w:r>
        <w:rPr>
          <w:rFonts w:ascii="Arial" w:hAnsi="Arial" w:cs="Arial"/>
          <w:sz w:val="20"/>
          <w:szCs w:val="20"/>
          <w:lang w:val="en-US"/>
        </w:rPr>
        <w:t xml:space="preserve">– </w:t>
      </w:r>
      <w:r w:rsidRPr="00A57690">
        <w:rPr>
          <w:rFonts w:ascii="Arial" w:hAnsi="Arial" w:cs="Arial"/>
          <w:sz w:val="20"/>
          <w:szCs w:val="20"/>
          <w:lang w:val="en-US"/>
        </w:rPr>
        <w:t>Plovdiv. Vol. LVII</w:t>
      </w:r>
      <w:r>
        <w:rPr>
          <w:rFonts w:ascii="Arial" w:hAnsi="Arial" w:cs="Arial"/>
          <w:sz w:val="20"/>
          <w:szCs w:val="20"/>
          <w:lang w:val="en-US"/>
        </w:rPr>
        <w:t>, pp. 141-144</w:t>
      </w:r>
      <w:r>
        <w:rPr>
          <w:rFonts w:ascii="Arial" w:hAnsi="Arial" w:cs="Arial"/>
          <w:sz w:val="20"/>
          <w:szCs w:val="20"/>
          <w:lang w:val="bg-BG"/>
        </w:rPr>
        <w:t>.</w:t>
      </w:r>
      <w:r w:rsidRPr="00A57690">
        <w:rPr>
          <w:rFonts w:ascii="Arial" w:hAnsi="Arial" w:cs="Arial"/>
          <w:sz w:val="20"/>
          <w:szCs w:val="20"/>
          <w:lang w:val="en-US"/>
        </w:rPr>
        <w:t xml:space="preserve"> </w:t>
      </w:r>
    </w:p>
    <w:p w:rsidR="00754199" w:rsidRPr="000F2DA5" w:rsidRDefault="00754199" w:rsidP="00FE2DE9">
      <w:pPr>
        <w:ind w:left="709" w:hanging="709"/>
        <w:jc w:val="both"/>
        <w:rPr>
          <w:rFonts w:ascii="Arial" w:hAnsi="Arial" w:cs="Arial"/>
          <w:sz w:val="20"/>
          <w:szCs w:val="20"/>
          <w:lang w:val="bg-BG"/>
        </w:rPr>
      </w:pPr>
      <w:r w:rsidRPr="0021786E">
        <w:rPr>
          <w:rFonts w:ascii="Arial" w:hAnsi="Arial" w:cs="Arial"/>
          <w:i/>
          <w:sz w:val="20"/>
          <w:szCs w:val="20"/>
        </w:rPr>
        <w:t>Forman, Ernest H.</w:t>
      </w:r>
      <w:r>
        <w:rPr>
          <w:rFonts w:ascii="Arial" w:hAnsi="Arial" w:cs="Arial"/>
          <w:i/>
          <w:sz w:val="20"/>
          <w:szCs w:val="20"/>
          <w:lang w:val="bg-BG"/>
        </w:rPr>
        <w:t>,</w:t>
      </w:r>
      <w:r w:rsidRPr="0021786E">
        <w:rPr>
          <w:rFonts w:ascii="Arial" w:hAnsi="Arial" w:cs="Arial"/>
          <w:i/>
          <w:sz w:val="20"/>
          <w:szCs w:val="20"/>
        </w:rPr>
        <w:t xml:space="preserve"> Saul I. Gass</w:t>
      </w:r>
      <w:r>
        <w:rPr>
          <w:rFonts w:ascii="Arial" w:hAnsi="Arial" w:cs="Arial"/>
          <w:i/>
          <w:sz w:val="20"/>
          <w:szCs w:val="20"/>
          <w:lang w:val="bg-BG"/>
        </w:rPr>
        <w:t>,</w:t>
      </w:r>
      <w:r>
        <w:rPr>
          <w:rFonts w:ascii="Arial" w:hAnsi="Arial" w:cs="Arial"/>
          <w:sz w:val="20"/>
          <w:szCs w:val="20"/>
        </w:rPr>
        <w:t xml:space="preserve"> 2001. </w:t>
      </w:r>
      <w:r w:rsidRPr="00A57690">
        <w:rPr>
          <w:rFonts w:ascii="Arial" w:hAnsi="Arial" w:cs="Arial"/>
          <w:sz w:val="20"/>
          <w:szCs w:val="20"/>
        </w:rPr>
        <w:t>The analytical hierarch</w:t>
      </w:r>
      <w:r w:rsidR="00F103EF">
        <w:rPr>
          <w:rFonts w:ascii="Arial" w:hAnsi="Arial" w:cs="Arial"/>
          <w:sz w:val="20"/>
          <w:szCs w:val="20"/>
        </w:rPr>
        <w:t xml:space="preserve">y process </w:t>
      </w:r>
      <w:r>
        <w:rPr>
          <w:rFonts w:ascii="Arial" w:hAnsi="Arial" w:cs="Arial"/>
          <w:sz w:val="20"/>
          <w:szCs w:val="20"/>
        </w:rPr>
        <w:t>an exposition</w:t>
      </w:r>
      <w:r w:rsidRPr="00A57690">
        <w:rPr>
          <w:rFonts w:ascii="Arial" w:hAnsi="Arial" w:cs="Arial"/>
          <w:sz w:val="20"/>
          <w:szCs w:val="20"/>
        </w:rPr>
        <w:t>. Oper</w:t>
      </w:r>
      <w:r>
        <w:rPr>
          <w:rFonts w:ascii="Arial" w:hAnsi="Arial" w:cs="Arial"/>
          <w:sz w:val="20"/>
          <w:szCs w:val="20"/>
        </w:rPr>
        <w:t>ations Research 49 (4): 469–487</w:t>
      </w:r>
      <w:r>
        <w:rPr>
          <w:rFonts w:ascii="Arial" w:hAnsi="Arial" w:cs="Arial"/>
          <w:sz w:val="20"/>
          <w:szCs w:val="20"/>
          <w:lang w:val="bg-BG"/>
        </w:rPr>
        <w:t>;</w:t>
      </w:r>
    </w:p>
    <w:p w:rsidR="00754199" w:rsidRPr="00E755D3" w:rsidRDefault="00FE2DE9" w:rsidP="00FE2DE9">
      <w:pPr>
        <w:ind w:left="709" w:hanging="709"/>
        <w:jc w:val="both"/>
        <w:rPr>
          <w:rFonts w:ascii="Arial" w:hAnsi="Arial" w:cs="Arial"/>
          <w:sz w:val="20"/>
          <w:szCs w:val="20"/>
          <w:lang w:val="bg-BG"/>
        </w:rPr>
      </w:pPr>
      <w:r>
        <w:t xml:space="preserve">            </w:t>
      </w:r>
      <w:hyperlink r:id="rId18" w:tooltip="Digital object identifier" w:history="1">
        <w:r w:rsidR="00754199" w:rsidRPr="00A57690">
          <w:rPr>
            <w:rFonts w:ascii="Arial" w:hAnsi="Arial" w:cs="Arial"/>
            <w:sz w:val="20"/>
            <w:szCs w:val="20"/>
          </w:rPr>
          <w:t>doi</w:t>
        </w:r>
      </w:hyperlink>
      <w:r w:rsidR="00754199" w:rsidRPr="00A57690">
        <w:rPr>
          <w:rFonts w:ascii="Arial" w:hAnsi="Arial" w:cs="Arial"/>
          <w:sz w:val="20"/>
          <w:szCs w:val="20"/>
        </w:rPr>
        <w:t>:</w:t>
      </w:r>
      <w:hyperlink r:id="rId19" w:history="1">
        <w:r w:rsidR="00754199" w:rsidRPr="00A57690">
          <w:rPr>
            <w:rFonts w:ascii="Arial" w:hAnsi="Arial" w:cs="Arial"/>
            <w:sz w:val="20"/>
            <w:szCs w:val="20"/>
          </w:rPr>
          <w:t>10.1287/opre.49.4.469.11231</w:t>
        </w:r>
      </w:hyperlink>
    </w:p>
    <w:p w:rsidR="00754199" w:rsidRPr="00A57690" w:rsidRDefault="00754199" w:rsidP="00FE2DE9">
      <w:pPr>
        <w:ind w:left="709" w:hanging="709"/>
        <w:jc w:val="both"/>
        <w:rPr>
          <w:rFonts w:ascii="Arial" w:hAnsi="Arial" w:cs="Arial"/>
          <w:sz w:val="20"/>
          <w:szCs w:val="20"/>
        </w:rPr>
      </w:pPr>
      <w:r w:rsidRPr="0021786E">
        <w:rPr>
          <w:rFonts w:ascii="Arial" w:hAnsi="Arial" w:cs="Arial"/>
          <w:i/>
          <w:sz w:val="20"/>
          <w:szCs w:val="20"/>
        </w:rPr>
        <w:t>Hallowell, David L.</w:t>
      </w:r>
      <w:r>
        <w:rPr>
          <w:rFonts w:ascii="Arial" w:hAnsi="Arial" w:cs="Arial"/>
          <w:i/>
          <w:sz w:val="20"/>
          <w:szCs w:val="20"/>
          <w:lang w:val="bg-BG"/>
        </w:rPr>
        <w:t>,</w:t>
      </w:r>
      <w:r>
        <w:rPr>
          <w:rFonts w:ascii="Arial" w:hAnsi="Arial" w:cs="Arial"/>
          <w:sz w:val="20"/>
          <w:szCs w:val="20"/>
        </w:rPr>
        <w:t xml:space="preserve"> 2005</w:t>
      </w:r>
      <w:r w:rsidRPr="00A57690">
        <w:rPr>
          <w:rFonts w:ascii="Arial" w:hAnsi="Arial" w:cs="Arial"/>
          <w:sz w:val="20"/>
          <w:szCs w:val="20"/>
        </w:rPr>
        <w:t xml:space="preserve">. </w:t>
      </w:r>
      <w:hyperlink r:id="rId20" w:history="1">
        <w:r w:rsidRPr="00A57690">
          <w:rPr>
            <w:rFonts w:ascii="Arial" w:hAnsi="Arial" w:cs="Arial"/>
            <w:sz w:val="20"/>
            <w:szCs w:val="20"/>
          </w:rPr>
          <w:t>Analytical Hierarchy Process (AHP) – Getting Oriented</w:t>
        </w:r>
      </w:hyperlink>
      <w:r w:rsidRPr="00A57690">
        <w:rPr>
          <w:rFonts w:ascii="Arial" w:hAnsi="Arial" w:cs="Arial"/>
          <w:sz w:val="20"/>
          <w:szCs w:val="20"/>
        </w:rPr>
        <w:t xml:space="preserve">. ISixSigma.com. </w:t>
      </w:r>
      <w:hyperlink r:id="rId21" w:history="1">
        <w:r w:rsidRPr="00A57690">
          <w:rPr>
            <w:rFonts w:ascii="Arial" w:hAnsi="Arial" w:cs="Arial"/>
            <w:sz w:val="20"/>
            <w:szCs w:val="20"/>
          </w:rPr>
          <w:t>Archived</w:t>
        </w:r>
      </w:hyperlink>
      <w:r w:rsidRPr="00A57690">
        <w:rPr>
          <w:rFonts w:ascii="Arial" w:hAnsi="Arial" w:cs="Arial"/>
          <w:sz w:val="20"/>
          <w:szCs w:val="20"/>
        </w:rPr>
        <w:t xml:space="preserve"> from the original on 11 August 2007. Retrieved 2007-08-21.</w:t>
      </w:r>
    </w:p>
    <w:p w:rsidR="00754199" w:rsidRPr="00A57690" w:rsidRDefault="006C515D" w:rsidP="00754199">
      <w:pPr>
        <w:ind w:firstLine="680"/>
        <w:jc w:val="both"/>
        <w:rPr>
          <w:rFonts w:ascii="Arial" w:hAnsi="Arial" w:cs="Arial"/>
          <w:i/>
          <w:iCs/>
          <w:sz w:val="20"/>
          <w:szCs w:val="20"/>
        </w:rPr>
      </w:pPr>
      <w:hyperlink r:id="rId22" w:history="1">
        <w:r w:rsidR="00754199" w:rsidRPr="00A57690">
          <w:rPr>
            <w:rFonts w:ascii="Arial" w:hAnsi="Arial" w:cs="Arial"/>
            <w:sz w:val="20"/>
            <w:szCs w:val="20"/>
          </w:rPr>
          <w:t>http://umispublic.government.bg/prPlanningRegions.aspx?pr=10023</w:t>
        </w:r>
      </w:hyperlink>
    </w:p>
    <w:p w:rsidR="00754199" w:rsidRPr="0054714C" w:rsidRDefault="006C515D" w:rsidP="00754199">
      <w:pPr>
        <w:ind w:firstLine="680"/>
        <w:jc w:val="both"/>
        <w:rPr>
          <w:rFonts w:ascii="Arial" w:hAnsi="Arial" w:cs="Arial"/>
          <w:sz w:val="20"/>
          <w:szCs w:val="20"/>
        </w:rPr>
      </w:pPr>
      <w:hyperlink r:id="rId23" w:history="1">
        <w:r w:rsidR="00754199" w:rsidRPr="0054714C">
          <w:rPr>
            <w:rStyle w:val="Hyperlink"/>
            <w:rFonts w:ascii="Arial" w:hAnsi="Arial" w:cs="Arial"/>
            <w:color w:val="auto"/>
            <w:sz w:val="20"/>
            <w:szCs w:val="20"/>
            <w:u w:val="none"/>
          </w:rPr>
          <w:t>http://www.24chasa.bg/Article.asp?ArticleId=2442638</w:t>
        </w:r>
      </w:hyperlink>
    </w:p>
    <w:p w:rsidR="00754199" w:rsidRPr="0054714C" w:rsidRDefault="00754199" w:rsidP="00754199">
      <w:pPr>
        <w:ind w:firstLine="680"/>
        <w:rPr>
          <w:rFonts w:ascii="Arial" w:hAnsi="Arial" w:cs="Arial"/>
          <w:b/>
          <w:sz w:val="20"/>
          <w:szCs w:val="20"/>
          <w:lang w:val="bg-BG"/>
        </w:rPr>
      </w:pPr>
    </w:p>
    <w:p w:rsidR="00AE21F9" w:rsidRDefault="00AE21F9"/>
    <w:sectPr w:rsidR="00AE21F9" w:rsidSect="0054714C">
      <w:footerReference w:type="default" r:id="rId24"/>
      <w:pgSz w:w="11906" w:h="16838" w:code="9"/>
      <w:pgMar w:top="3799" w:right="2268" w:bottom="2268" w:left="226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5D" w:rsidRDefault="006C515D" w:rsidP="0054714C">
      <w:r>
        <w:separator/>
      </w:r>
    </w:p>
  </w:endnote>
  <w:endnote w:type="continuationSeparator" w:id="0">
    <w:p w:rsidR="006C515D" w:rsidRDefault="006C515D" w:rsidP="0054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4C" w:rsidRDefault="0054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5D" w:rsidRDefault="006C515D" w:rsidP="0054714C">
      <w:r>
        <w:separator/>
      </w:r>
    </w:p>
  </w:footnote>
  <w:footnote w:type="continuationSeparator" w:id="0">
    <w:p w:rsidR="006C515D" w:rsidRDefault="006C515D" w:rsidP="00547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817F5"/>
    <w:multiLevelType w:val="hybridMultilevel"/>
    <w:tmpl w:val="E59C24F6"/>
    <w:lvl w:ilvl="0" w:tplc="0402000B">
      <w:numFmt w:val="bullet"/>
      <w:lvlText w:val="-"/>
      <w:lvlJc w:val="left"/>
      <w:pPr>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99"/>
    <w:rsid w:val="000069D0"/>
    <w:rsid w:val="000B7E2E"/>
    <w:rsid w:val="000E6157"/>
    <w:rsid w:val="001620FB"/>
    <w:rsid w:val="00162B3A"/>
    <w:rsid w:val="001849CF"/>
    <w:rsid w:val="001A33CD"/>
    <w:rsid w:val="00236332"/>
    <w:rsid w:val="002B0E76"/>
    <w:rsid w:val="002D5C60"/>
    <w:rsid w:val="002F5AB6"/>
    <w:rsid w:val="00325FFD"/>
    <w:rsid w:val="0033060A"/>
    <w:rsid w:val="003463EE"/>
    <w:rsid w:val="00387ACB"/>
    <w:rsid w:val="00451857"/>
    <w:rsid w:val="00490D5E"/>
    <w:rsid w:val="0054714C"/>
    <w:rsid w:val="00557B48"/>
    <w:rsid w:val="005D1BF6"/>
    <w:rsid w:val="005E795A"/>
    <w:rsid w:val="005F061C"/>
    <w:rsid w:val="006040B7"/>
    <w:rsid w:val="006717A0"/>
    <w:rsid w:val="006C515D"/>
    <w:rsid w:val="006F4FDF"/>
    <w:rsid w:val="00754199"/>
    <w:rsid w:val="00755217"/>
    <w:rsid w:val="007941B5"/>
    <w:rsid w:val="007C03E8"/>
    <w:rsid w:val="007D13F9"/>
    <w:rsid w:val="007F2F91"/>
    <w:rsid w:val="00846733"/>
    <w:rsid w:val="00887783"/>
    <w:rsid w:val="008E4119"/>
    <w:rsid w:val="00931CCF"/>
    <w:rsid w:val="00966BB5"/>
    <w:rsid w:val="009836B9"/>
    <w:rsid w:val="009A1594"/>
    <w:rsid w:val="009C0BBE"/>
    <w:rsid w:val="009E22C8"/>
    <w:rsid w:val="00A0041F"/>
    <w:rsid w:val="00A12B63"/>
    <w:rsid w:val="00A94488"/>
    <w:rsid w:val="00AE21F9"/>
    <w:rsid w:val="00AF745A"/>
    <w:rsid w:val="00B2150F"/>
    <w:rsid w:val="00C05954"/>
    <w:rsid w:val="00C97428"/>
    <w:rsid w:val="00CF491E"/>
    <w:rsid w:val="00D41329"/>
    <w:rsid w:val="00D4491E"/>
    <w:rsid w:val="00E0791B"/>
    <w:rsid w:val="00E34C12"/>
    <w:rsid w:val="00EE3E9B"/>
    <w:rsid w:val="00EF03E1"/>
    <w:rsid w:val="00F01D2C"/>
    <w:rsid w:val="00F103EF"/>
    <w:rsid w:val="00F217DD"/>
    <w:rsid w:val="00F52A88"/>
    <w:rsid w:val="00F617B1"/>
    <w:rsid w:val="00FB4C5C"/>
    <w:rsid w:val="00FE2D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9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199"/>
    <w:rPr>
      <w:rFonts w:cs="Times New Roman"/>
      <w:color w:val="0000FF"/>
      <w:u w:val="single"/>
    </w:rPr>
  </w:style>
  <w:style w:type="paragraph" w:styleId="ListParagraph">
    <w:name w:val="List Paragraph"/>
    <w:basedOn w:val="Normal"/>
    <w:link w:val="ListParagraphChar"/>
    <w:uiPriority w:val="99"/>
    <w:qFormat/>
    <w:rsid w:val="00754199"/>
    <w:pPr>
      <w:ind w:left="720"/>
    </w:pPr>
    <w:rPr>
      <w:lang w:val="ru-RU" w:eastAsia="ru-RU"/>
    </w:rPr>
  </w:style>
  <w:style w:type="character" w:customStyle="1" w:styleId="ListParagraphChar">
    <w:name w:val="List Paragraph Char"/>
    <w:link w:val="ListParagraph"/>
    <w:uiPriority w:val="99"/>
    <w:locked/>
    <w:rsid w:val="00754199"/>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754199"/>
  </w:style>
  <w:style w:type="paragraph" w:styleId="BalloonText">
    <w:name w:val="Balloon Text"/>
    <w:basedOn w:val="Normal"/>
    <w:link w:val="BalloonTextChar"/>
    <w:uiPriority w:val="99"/>
    <w:semiHidden/>
    <w:unhideWhenUsed/>
    <w:rsid w:val="00754199"/>
    <w:rPr>
      <w:rFonts w:ascii="Tahoma" w:hAnsi="Tahoma" w:cs="Tahoma"/>
      <w:sz w:val="16"/>
      <w:szCs w:val="16"/>
    </w:rPr>
  </w:style>
  <w:style w:type="character" w:customStyle="1" w:styleId="BalloonTextChar">
    <w:name w:val="Balloon Text Char"/>
    <w:basedOn w:val="DefaultParagraphFont"/>
    <w:link w:val="BalloonText"/>
    <w:uiPriority w:val="99"/>
    <w:semiHidden/>
    <w:rsid w:val="00754199"/>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54714C"/>
    <w:pPr>
      <w:tabs>
        <w:tab w:val="center" w:pos="4536"/>
        <w:tab w:val="right" w:pos="9072"/>
      </w:tabs>
    </w:pPr>
  </w:style>
  <w:style w:type="character" w:customStyle="1" w:styleId="HeaderChar">
    <w:name w:val="Header Char"/>
    <w:basedOn w:val="DefaultParagraphFont"/>
    <w:link w:val="Header"/>
    <w:uiPriority w:val="99"/>
    <w:semiHidden/>
    <w:rsid w:val="0054714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714C"/>
    <w:pPr>
      <w:tabs>
        <w:tab w:val="center" w:pos="4536"/>
        <w:tab w:val="right" w:pos="9072"/>
      </w:tabs>
    </w:pPr>
  </w:style>
  <w:style w:type="character" w:customStyle="1" w:styleId="FooterChar">
    <w:name w:val="Footer Char"/>
    <w:basedOn w:val="DefaultParagraphFont"/>
    <w:link w:val="Footer"/>
    <w:uiPriority w:val="99"/>
    <w:rsid w:val="0054714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9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199"/>
    <w:rPr>
      <w:rFonts w:cs="Times New Roman"/>
      <w:color w:val="0000FF"/>
      <w:u w:val="single"/>
    </w:rPr>
  </w:style>
  <w:style w:type="paragraph" w:styleId="ListParagraph">
    <w:name w:val="List Paragraph"/>
    <w:basedOn w:val="Normal"/>
    <w:link w:val="ListParagraphChar"/>
    <w:uiPriority w:val="99"/>
    <w:qFormat/>
    <w:rsid w:val="00754199"/>
    <w:pPr>
      <w:ind w:left="720"/>
    </w:pPr>
    <w:rPr>
      <w:lang w:val="ru-RU" w:eastAsia="ru-RU"/>
    </w:rPr>
  </w:style>
  <w:style w:type="character" w:customStyle="1" w:styleId="ListParagraphChar">
    <w:name w:val="List Paragraph Char"/>
    <w:link w:val="ListParagraph"/>
    <w:uiPriority w:val="99"/>
    <w:locked/>
    <w:rsid w:val="00754199"/>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754199"/>
  </w:style>
  <w:style w:type="paragraph" w:styleId="BalloonText">
    <w:name w:val="Balloon Text"/>
    <w:basedOn w:val="Normal"/>
    <w:link w:val="BalloonTextChar"/>
    <w:uiPriority w:val="99"/>
    <w:semiHidden/>
    <w:unhideWhenUsed/>
    <w:rsid w:val="00754199"/>
    <w:rPr>
      <w:rFonts w:ascii="Tahoma" w:hAnsi="Tahoma" w:cs="Tahoma"/>
      <w:sz w:val="16"/>
      <w:szCs w:val="16"/>
    </w:rPr>
  </w:style>
  <w:style w:type="character" w:customStyle="1" w:styleId="BalloonTextChar">
    <w:name w:val="Balloon Text Char"/>
    <w:basedOn w:val="DefaultParagraphFont"/>
    <w:link w:val="BalloonText"/>
    <w:uiPriority w:val="99"/>
    <w:semiHidden/>
    <w:rsid w:val="00754199"/>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54714C"/>
    <w:pPr>
      <w:tabs>
        <w:tab w:val="center" w:pos="4536"/>
        <w:tab w:val="right" w:pos="9072"/>
      </w:tabs>
    </w:pPr>
  </w:style>
  <w:style w:type="character" w:customStyle="1" w:styleId="HeaderChar">
    <w:name w:val="Header Char"/>
    <w:basedOn w:val="DefaultParagraphFont"/>
    <w:link w:val="Header"/>
    <w:uiPriority w:val="99"/>
    <w:semiHidden/>
    <w:rsid w:val="0054714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714C"/>
    <w:pPr>
      <w:tabs>
        <w:tab w:val="center" w:pos="4536"/>
        <w:tab w:val="right" w:pos="9072"/>
      </w:tabs>
    </w:pPr>
  </w:style>
  <w:style w:type="character" w:customStyle="1" w:styleId="FooterChar">
    <w:name w:val="Footer Char"/>
    <w:basedOn w:val="DefaultParagraphFont"/>
    <w:link w:val="Footer"/>
    <w:uiPriority w:val="99"/>
    <w:rsid w:val="0054714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en.wikipedia.org/wiki/Digital_object_identifi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eb.archive.org/web/20070811180014/http:/software.isixsigma.com/library/content/c050105a.asp"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oftware.isixsigma.com/library/content/c050105a.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24chasa.bg/Article.asp?ArticleId=2442638" TargetMode="External"/><Relationship Id="rId10" Type="http://schemas.openxmlformats.org/officeDocument/2006/relationships/image" Target="media/image2.jpeg"/><Relationship Id="rId19" Type="http://schemas.openxmlformats.org/officeDocument/2006/relationships/hyperlink" Target="https://dx.doi.org/10.1287%2Fopre.49.4.469.1123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hyperlink" Target="http://umispublic.government.bg/prPlanningRegions.aspx?pr=1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Links>
    <vt:vector size="36" baseType="variant">
      <vt:variant>
        <vt:i4>3407987</vt:i4>
      </vt:variant>
      <vt:variant>
        <vt:i4>18</vt:i4>
      </vt:variant>
      <vt:variant>
        <vt:i4>0</vt:i4>
      </vt:variant>
      <vt:variant>
        <vt:i4>5</vt:i4>
      </vt:variant>
      <vt:variant>
        <vt:lpwstr>http://www.24chasa.bg/Article.asp?ArticleId=2442638</vt:lpwstr>
      </vt:variant>
      <vt:variant>
        <vt:lpwstr/>
      </vt:variant>
      <vt:variant>
        <vt:i4>2883697</vt:i4>
      </vt:variant>
      <vt:variant>
        <vt:i4>15</vt:i4>
      </vt:variant>
      <vt:variant>
        <vt:i4>0</vt:i4>
      </vt:variant>
      <vt:variant>
        <vt:i4>5</vt:i4>
      </vt:variant>
      <vt:variant>
        <vt:lpwstr>http://umispublic.government.bg/prPlanningRegions.aspx?pr=10023</vt:lpwstr>
      </vt:variant>
      <vt:variant>
        <vt:lpwstr/>
      </vt:variant>
      <vt:variant>
        <vt:i4>8061040</vt:i4>
      </vt:variant>
      <vt:variant>
        <vt:i4>12</vt:i4>
      </vt:variant>
      <vt:variant>
        <vt:i4>0</vt:i4>
      </vt:variant>
      <vt:variant>
        <vt:i4>5</vt:i4>
      </vt:variant>
      <vt:variant>
        <vt:lpwstr>http://web.archive.org/web/20070811180014/http:/software.isixsigma.com/library/content/c050105a.asp</vt:lpwstr>
      </vt:variant>
      <vt:variant>
        <vt:lpwstr/>
      </vt:variant>
      <vt:variant>
        <vt:i4>2621544</vt:i4>
      </vt:variant>
      <vt:variant>
        <vt:i4>9</vt:i4>
      </vt:variant>
      <vt:variant>
        <vt:i4>0</vt:i4>
      </vt:variant>
      <vt:variant>
        <vt:i4>5</vt:i4>
      </vt:variant>
      <vt:variant>
        <vt:lpwstr>http://software.isixsigma.com/library/content/c050105a.asp</vt:lpwstr>
      </vt:variant>
      <vt:variant>
        <vt:lpwstr/>
      </vt:variant>
      <vt:variant>
        <vt:i4>4522071</vt:i4>
      </vt:variant>
      <vt:variant>
        <vt:i4>6</vt:i4>
      </vt:variant>
      <vt:variant>
        <vt:i4>0</vt:i4>
      </vt:variant>
      <vt:variant>
        <vt:i4>5</vt:i4>
      </vt:variant>
      <vt:variant>
        <vt:lpwstr>https://dx.doi.org/10.1287%2Fopre.49.4.469.11231</vt:lpwstr>
      </vt:variant>
      <vt:variant>
        <vt:lpwstr/>
      </vt:variant>
      <vt:variant>
        <vt:i4>1769564</vt:i4>
      </vt:variant>
      <vt:variant>
        <vt:i4>3</vt:i4>
      </vt:variant>
      <vt:variant>
        <vt:i4>0</vt:i4>
      </vt:variant>
      <vt:variant>
        <vt:i4>5</vt:i4>
      </vt:variant>
      <vt:variant>
        <vt:lpwstr>https://en.wikipedia.org/wiki/Digital_object_identifier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Танче</cp:lastModifiedBy>
  <cp:revision>2</cp:revision>
  <cp:lastPrinted>2020-06-26T05:42:00Z</cp:lastPrinted>
  <dcterms:created xsi:type="dcterms:W3CDTF">2020-06-29T06:58:00Z</dcterms:created>
  <dcterms:modified xsi:type="dcterms:W3CDTF">2020-06-29T06:58:00Z</dcterms:modified>
</cp:coreProperties>
</file>